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黑体" w:hAnsi="宋体" w:eastAsia="黑体" w:cs="黑体"/>
          <w:sz w:val="28"/>
          <w:szCs w:val="28"/>
        </w:rPr>
      </w:pPr>
      <w:r>
        <w:rPr>
          <w:rFonts w:hint="eastAsia" w:ascii="黑体" w:hAnsi="宋体" w:eastAsia="黑体" w:cs="黑体"/>
          <w:sz w:val="28"/>
          <w:szCs w:val="28"/>
        </w:rPr>
        <w:t>附件</w:t>
      </w:r>
      <w:r>
        <w:rPr>
          <w:rFonts w:ascii="黑体" w:hAnsi="宋体" w:eastAsia="黑体" w:cs="黑体"/>
          <w:sz w:val="28"/>
          <w:szCs w:val="28"/>
        </w:rPr>
        <w:t>1</w:t>
      </w:r>
    </w:p>
    <w:p>
      <w:pPr>
        <w:jc w:val="center"/>
        <w:rPr>
          <w:rFonts w:ascii="方正小标宋简体" w:hAnsi="宋体" w:eastAsia="方正小标宋简体" w:cs="Times New Roman"/>
          <w:sz w:val="36"/>
          <w:szCs w:val="36"/>
        </w:rPr>
      </w:pPr>
      <w:bookmarkStart w:id="0" w:name="_GoBack"/>
      <w:r>
        <w:rPr>
          <w:rFonts w:hint="eastAsia" w:ascii="方正小标宋简体" w:hAnsi="宋体" w:eastAsia="方正小标宋简体" w:cs="方正小标宋简体"/>
          <w:sz w:val="36"/>
          <w:szCs w:val="36"/>
        </w:rPr>
        <w:t>2023年度文学创作与保护项目绩效自评表</w:t>
      </w:r>
      <w:bookmarkEnd w:id="0"/>
    </w:p>
    <w:p>
      <w:pPr>
        <w:rPr>
          <w:rFonts w:cs="Times New Roman"/>
        </w:rPr>
      </w:pPr>
    </w:p>
    <w:p>
      <w:pPr>
        <w:widowControl/>
        <w:jc w:val="left"/>
        <w:rPr>
          <w:rFonts w:ascii="楷体_GB2312" w:hAnsi="黑体" w:eastAsia="楷体_GB2312" w:cs="Times New Roman"/>
          <w:kern w:val="0"/>
          <w:sz w:val="48"/>
          <w:szCs w:val="48"/>
        </w:rPr>
      </w:pP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单位名称：襄阳市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eastAsia="zh-CN"/>
        </w:rPr>
        <w:t>文学院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 xml:space="preserve">    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填报日期：2024年2月28日</w:t>
      </w:r>
    </w:p>
    <w:tbl>
      <w:tblPr>
        <w:tblStyle w:val="16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文学创作与保护项目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襄阳市文学艺术界联合会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襄阳市文学院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、部门预算项目☑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、财政专项□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、市对下转移支付项目□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、持续性项目☑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、新增性项目□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、常年性项目☑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、延续性项目□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、一次性项目□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预算执行情况（万元）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预算数（</w:t>
            </w:r>
            <w:r>
              <w:rPr>
                <w:rFonts w:ascii="仿宋_GB2312" w:hAnsi="宋体" w:eastAsia="仿宋_GB2312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执行数</w:t>
            </w:r>
            <w:r>
              <w:rPr>
                <w:rFonts w:ascii="仿宋_GB2312" w:hAnsi="宋体" w:eastAsia="仿宋_GB2312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执行率</w:t>
            </w:r>
            <w:r>
              <w:rPr>
                <w:rFonts w:ascii="仿宋_GB2312" w:hAnsi="宋体" w:eastAsia="仿宋_GB2312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</w:t>
            </w:r>
            <w:r>
              <w:rPr>
                <w:rFonts w:ascii="仿宋_GB2312" w:hAnsi="宋体" w:eastAsia="仿宋_GB2312" w:cs="仿宋_GB2312"/>
                <w:kern w:val="0"/>
              </w:rPr>
              <w:t>*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7.2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7.144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年度绩效目标</w:t>
            </w:r>
            <w:r>
              <w:rPr>
                <w:rFonts w:ascii="仿宋_GB2312" w:hAnsi="宋体" w:eastAsia="仿宋_GB2312" w:cs="仿宋_GB2312"/>
                <w:kern w:val="0"/>
              </w:rPr>
              <w:t>1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sz w:val="20"/>
                <w:szCs w:val="20"/>
              </w:rPr>
              <w:t>80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年初目标值（</w:t>
            </w:r>
            <w:r>
              <w:rPr>
                <w:rFonts w:ascii="仿宋_GB2312" w:hAnsi="宋体" w:eastAsia="仿宋_GB2312" w:cs="仿宋_GB2312"/>
                <w:kern w:val="0"/>
              </w:rPr>
              <w:t>A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实际完成值（</w:t>
            </w:r>
            <w:r>
              <w:rPr>
                <w:rFonts w:ascii="仿宋_GB2312" w:hAnsi="宋体" w:eastAsia="仿宋_GB2312" w:cs="仿宋_GB2312"/>
                <w:kern w:val="0"/>
              </w:rPr>
              <w:t>B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成本指标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经济成本指标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项目费用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7.2万元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7.144万元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9.9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时效指标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按计划如期完成率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按计划开展活动数量比率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举办交流活动参与人次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500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800</w:t>
            </w:r>
          </w:p>
        </w:tc>
        <w:tc>
          <w:tcPr>
            <w:tcW w:w="87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举办文学进校园、进社区等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31次</w:t>
            </w:r>
          </w:p>
        </w:tc>
        <w:tc>
          <w:tcPr>
            <w:tcW w:w="87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</w:rPr>
              <w:t>公众号推送文学信息数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50次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200次</w:t>
            </w:r>
          </w:p>
        </w:tc>
        <w:tc>
          <w:tcPr>
            <w:tcW w:w="87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视频号推介襄阳名家名作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80篇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100篇</w:t>
            </w:r>
          </w:p>
        </w:tc>
        <w:tc>
          <w:tcPr>
            <w:tcW w:w="87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社会效益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社会氛围、媒体宣传热度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良好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良好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服务对象满意度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市民参与度、市民热议好评度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99.9分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1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通过年初计划和工作安排，组织举办了相关活动.1、开展主题文学活动。市文学院继续推进“少年作家”文学公益讲堂品牌活动的开展</w:t>
            </w:r>
            <w:r>
              <w:rPr>
                <w:rFonts w:hint="eastAsia" w:ascii="仿宋" w:hAnsi="仿宋" w:eastAsia="仿宋" w:cs="Times New Roman"/>
                <w:kern w:val="0"/>
              </w:rPr>
              <w:t>，</w:t>
            </w:r>
            <w:r>
              <w:rPr>
                <w:rFonts w:hint="eastAsia" w:ascii="仿宋" w:hAnsi="仿宋" w:eastAsia="仿宋" w:cs="楷体_GB2312"/>
                <w:bCs/>
              </w:rPr>
              <w:t>蒲公英女子读书会</w:t>
            </w:r>
            <w:r>
              <w:rPr>
                <w:rFonts w:hint="eastAsia" w:ascii="仿宋" w:hAnsi="仿宋" w:eastAsia="仿宋" w:cs="Times New Roman"/>
                <w:kern w:val="0"/>
              </w:rPr>
              <w:t>，</w:t>
            </w:r>
            <w:r>
              <w:rPr>
                <w:rFonts w:hint="eastAsia" w:ascii="仿宋" w:hAnsi="仿宋" w:eastAsia="仿宋" w:cs="楷体_GB2312"/>
                <w:bCs/>
              </w:rPr>
              <w:t>江畔读书会——关掉手机3小时，</w:t>
            </w:r>
            <w:r>
              <w:rPr>
                <w:rFonts w:hint="eastAsia" w:ascii="仿宋" w:hAnsi="仿宋" w:eastAsia="仿宋" w:cs="仿宋_GB2312"/>
              </w:rPr>
              <w:t>第二届“隆中散文奖”征稿，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参与活动近千人次，活动效果好，影响大，激发了群众的文学兴趣，将文学带给更多人。</w:t>
            </w:r>
          </w:p>
          <w:p>
            <w:pPr>
              <w:widowControl/>
              <w:ind w:firstLine="420" w:firstLineChars="2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2、推动精品文艺创作。市文学院组织开展了隆中散文征文活动文学征文活动；采风活动包括但不限于生态保护、遗址旧址、乡村振兴等，大大丰富了作家的创作素材；组织文明城市建设发展主题创作的采访、交流、讨论、调研，编写等一系列工作。开展</w:t>
            </w:r>
            <w:r>
              <w:rPr>
                <w:rFonts w:hint="eastAsia" w:ascii="仿宋_GB2312" w:hAnsi="仿宋_GB2312" w:eastAsia="仿宋_GB2312" w:cs="仿宋_GB2312"/>
              </w:rPr>
              <w:t>《轻叩红门》作品研讨会、《生活没有说明书》作品研讨会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；举行中小学生征文比赛；</w:t>
            </w:r>
          </w:p>
          <w:p>
            <w:pPr>
              <w:widowControl/>
              <w:ind w:firstLine="420" w:firstLineChars="2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楷体_GB2312" w:hAnsi="楷体_GB2312" w:eastAsia="楷体_GB2312" w:cs="楷体_GB2312"/>
                <w:bCs/>
              </w:rPr>
              <w:t>3、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市文学院更加注重网络平台的建设。</w:t>
            </w:r>
            <w:r>
              <w:rPr>
                <w:rFonts w:hint="eastAsia" w:ascii="仿宋_GB2312" w:hAnsi="仿宋_GB2312" w:eastAsia="仿宋_GB2312" w:cs="仿宋_GB2312"/>
              </w:rPr>
              <w:t>公众号“文学创作交流”已推送文学信息数200余条，关注人数近2000人，逐步提升文学院公众号的宣传影响力；视频号“襄阳小文”推送信息80余条，开设“创作谈”“相约江畔读书会”“蒲公英女子读书会”“当代作家—精品阅读”“新书推荐”等栏目，以更加生动的形式推介文学院活动、襄阳名家名作，宣传文学知识，提升文学素养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，进一步拓宽了文学交流的平台。</w:t>
            </w:r>
          </w:p>
          <w:p>
            <w:pPr>
              <w:widowControl/>
              <w:ind w:firstLine="420" w:firstLineChars="2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通过文学培训，组织作家开展采风活动、创作文学作品，跟踪签约作家创作动态，开展作品研讨会等，加强了作家队伍建设和联络，繁荣和发展襄阳的文学事业。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4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1.抓好中青年及少年作家培训工作,以习近平文化思想、社会主义核心价值观教育为主题,在培训组织上明确任务、详定方案,落实责任,务求实效。在成果运用上要及时总结经验,不断提高培训质量。</w:t>
            </w:r>
          </w:p>
          <w:p>
            <w:pPr>
              <w:widowControl/>
              <w:ind w:firstLine="420" w:firstLineChars="2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2.多次开展文学进校园、进书店、进乡村等活动,组织本土优秀作家力量,发挥专业作家的示范效应,努力打造青少年学术交流平台和文学人才培养阵地。</w:t>
            </w:r>
          </w:p>
          <w:p>
            <w:pPr>
              <w:widowControl/>
              <w:ind w:firstLine="420" w:firstLineChars="2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3.加强与文学相关网站的建设。延伸交流平台,以微信公众号、微信视频号、文学博客等传播媒介，积极建立文学网络电子信息平台，团结凝聚网络作家。</w:t>
            </w:r>
          </w:p>
          <w:p>
            <w:pPr>
              <w:widowControl/>
              <w:ind w:firstLine="420" w:firstLineChars="2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4.切实加强襄阳作家作品的研讨、推介力度，为本土作家创作把脉鼓劲,提升作品质量,推动成果转化。</w:t>
            </w:r>
          </w:p>
          <w:p>
            <w:pPr>
              <w:widowControl/>
              <w:ind w:firstLine="420" w:firstLineChars="20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</w:tbl>
    <w:p>
      <w:pPr>
        <w:widowControl/>
        <w:rPr>
          <w:rFonts w:ascii="仿宋_GB2312" w:hAnsi="宋体" w:eastAsia="仿宋_GB2312" w:cs="Times New Roman"/>
          <w:kern w:val="0"/>
        </w:rPr>
      </w:pPr>
      <w:r>
        <w:rPr>
          <w:rFonts w:hint="eastAsia" w:ascii="仿宋_GB2312" w:hAnsi="宋体" w:eastAsia="仿宋_GB2312" w:cs="仿宋_GB2312"/>
          <w:kern w:val="0"/>
        </w:rPr>
        <w:t>备注：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1.</w:t>
      </w:r>
      <w:r>
        <w:rPr>
          <w:rFonts w:hint="eastAsia" w:ascii="仿宋_GB2312" w:hAnsi="宋体" w:eastAsia="仿宋_GB2312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2.</w:t>
      </w:r>
      <w:r>
        <w:rPr>
          <w:rFonts w:hint="eastAsia" w:ascii="仿宋_GB2312" w:hAnsi="宋体" w:eastAsia="仿宋_GB2312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hAnsi="宋体" w:eastAsia="仿宋_GB2312" w:cs="仿宋_GB2312"/>
          <w:kern w:val="0"/>
        </w:rPr>
        <w:t>X,</w:t>
      </w:r>
      <w:r>
        <w:rPr>
          <w:rFonts w:hint="eastAsia" w:ascii="仿宋_GB2312" w:hAnsi="宋体" w:eastAsia="仿宋_GB2312" w:cs="仿宋_GB2312"/>
          <w:kern w:val="0"/>
        </w:rPr>
        <w:t>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*B/A</w:t>
      </w:r>
      <w:r>
        <w:rPr>
          <w:rFonts w:hint="eastAsia" w:ascii="仿宋_GB2312" w:hAnsi="宋体" w:eastAsia="仿宋_GB2312" w:cs="仿宋_GB2312"/>
          <w:kern w:val="0"/>
        </w:rPr>
        <w:t>），反向指标（即目标值为≤</w:t>
      </w:r>
      <w:r>
        <w:rPr>
          <w:rFonts w:ascii="仿宋_GB2312" w:hAnsi="宋体" w:eastAsia="仿宋_GB2312" w:cs="仿宋_GB2312"/>
          <w:kern w:val="0"/>
        </w:rPr>
        <w:t>X</w:t>
      </w:r>
      <w:r>
        <w:rPr>
          <w:rFonts w:hint="eastAsia" w:ascii="仿宋_GB2312" w:hAnsi="宋体" w:eastAsia="仿宋_GB2312" w:cs="仿宋_GB2312"/>
          <w:kern w:val="0"/>
        </w:rPr>
        <w:t>，得分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*A/B）</w:t>
      </w:r>
      <w:r>
        <w:rPr>
          <w:rFonts w:hint="eastAsia" w:ascii="仿宋_GB2312" w:hAnsi="宋体" w:eastAsia="仿宋_GB2312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3.</w:t>
      </w:r>
      <w:r>
        <w:rPr>
          <w:rFonts w:hint="eastAsia" w:ascii="仿宋_GB2312" w:hAnsi="宋体" w:eastAsia="仿宋_GB2312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hAnsi="宋体" w:eastAsia="仿宋_GB2312" w:cs="仿宋_GB2312"/>
          <w:kern w:val="0"/>
        </w:rPr>
        <w:t>100-80%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80%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80-50%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50%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50-0%</w:t>
      </w:r>
      <w:r>
        <w:rPr>
          <w:rFonts w:hint="eastAsia" w:ascii="仿宋_GB2312" w:hAnsi="宋体" w:eastAsia="仿宋_GB2312" w:cs="仿宋_GB2312"/>
          <w:kern w:val="0"/>
        </w:rPr>
        <w:t>合理确定分值。汇总时，以资金额度为权重，对分值进行加权平均计算。</w:t>
      </w:r>
    </w:p>
    <w:p>
      <w:pPr>
        <w:widowControl/>
        <w:ind w:firstLine="420" w:firstLineChars="200"/>
      </w:pPr>
      <w:r>
        <w:rPr>
          <w:rFonts w:ascii="仿宋_GB2312" w:hAnsi="宋体" w:eastAsia="仿宋_GB2312" w:cs="仿宋_GB2312"/>
          <w:kern w:val="0"/>
        </w:rPr>
        <w:t>4.</w:t>
      </w:r>
      <w:r>
        <w:rPr>
          <w:rFonts w:hint="eastAsia" w:ascii="仿宋_GB2312" w:hAnsi="宋体" w:eastAsia="仿宋_GB2312" w:cs="仿宋_GB2312"/>
          <w:kern w:val="0"/>
        </w:rPr>
        <w:t>基于经济性和必要性等因素考虑，满意度指标暂可不作为必评指标。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right="360" w:firstLine="360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F09"/>
    <w:rsid w:val="00002503"/>
    <w:rsid w:val="00013B97"/>
    <w:rsid w:val="000315FD"/>
    <w:rsid w:val="000639B8"/>
    <w:rsid w:val="000675A3"/>
    <w:rsid w:val="00082E7B"/>
    <w:rsid w:val="00092618"/>
    <w:rsid w:val="000B599B"/>
    <w:rsid w:val="00122842"/>
    <w:rsid w:val="00135CAF"/>
    <w:rsid w:val="00145A15"/>
    <w:rsid w:val="00172A27"/>
    <w:rsid w:val="001E3C6E"/>
    <w:rsid w:val="00207343"/>
    <w:rsid w:val="00213892"/>
    <w:rsid w:val="002645B9"/>
    <w:rsid w:val="002744D0"/>
    <w:rsid w:val="0029730F"/>
    <w:rsid w:val="002B315D"/>
    <w:rsid w:val="002D3079"/>
    <w:rsid w:val="002E6E21"/>
    <w:rsid w:val="00336E4C"/>
    <w:rsid w:val="00347721"/>
    <w:rsid w:val="0040591E"/>
    <w:rsid w:val="004277E2"/>
    <w:rsid w:val="00445976"/>
    <w:rsid w:val="004536A9"/>
    <w:rsid w:val="00454808"/>
    <w:rsid w:val="004B0542"/>
    <w:rsid w:val="004C70E3"/>
    <w:rsid w:val="004D5902"/>
    <w:rsid w:val="004F4681"/>
    <w:rsid w:val="0054044B"/>
    <w:rsid w:val="00543EF6"/>
    <w:rsid w:val="00552C91"/>
    <w:rsid w:val="00566763"/>
    <w:rsid w:val="005A1B6B"/>
    <w:rsid w:val="005A4D58"/>
    <w:rsid w:val="005D286B"/>
    <w:rsid w:val="005E12FD"/>
    <w:rsid w:val="006341ED"/>
    <w:rsid w:val="00650820"/>
    <w:rsid w:val="006936A7"/>
    <w:rsid w:val="006965E3"/>
    <w:rsid w:val="006A01AE"/>
    <w:rsid w:val="006A190B"/>
    <w:rsid w:val="006C7750"/>
    <w:rsid w:val="006F382A"/>
    <w:rsid w:val="00717A3F"/>
    <w:rsid w:val="007972B5"/>
    <w:rsid w:val="007B23C5"/>
    <w:rsid w:val="007D479B"/>
    <w:rsid w:val="007E4F58"/>
    <w:rsid w:val="00844644"/>
    <w:rsid w:val="008B5B64"/>
    <w:rsid w:val="008F435E"/>
    <w:rsid w:val="0090681D"/>
    <w:rsid w:val="009436AB"/>
    <w:rsid w:val="0097472F"/>
    <w:rsid w:val="00974E46"/>
    <w:rsid w:val="009778D0"/>
    <w:rsid w:val="00A016A4"/>
    <w:rsid w:val="00A446FD"/>
    <w:rsid w:val="00A86BB1"/>
    <w:rsid w:val="00AF2DBF"/>
    <w:rsid w:val="00B06A06"/>
    <w:rsid w:val="00B93D14"/>
    <w:rsid w:val="00BD3CBE"/>
    <w:rsid w:val="00BF0274"/>
    <w:rsid w:val="00BF655F"/>
    <w:rsid w:val="00C14CA0"/>
    <w:rsid w:val="00CA20FD"/>
    <w:rsid w:val="00CA4929"/>
    <w:rsid w:val="00CC3066"/>
    <w:rsid w:val="00CD0C8B"/>
    <w:rsid w:val="00CF49E5"/>
    <w:rsid w:val="00D049EC"/>
    <w:rsid w:val="00D54B62"/>
    <w:rsid w:val="00D67401"/>
    <w:rsid w:val="00D77CC0"/>
    <w:rsid w:val="00D844D8"/>
    <w:rsid w:val="00D97E5F"/>
    <w:rsid w:val="00DB1A58"/>
    <w:rsid w:val="00DE353F"/>
    <w:rsid w:val="00E526A3"/>
    <w:rsid w:val="00E56204"/>
    <w:rsid w:val="00E7180D"/>
    <w:rsid w:val="00E91B84"/>
    <w:rsid w:val="00EA3101"/>
    <w:rsid w:val="00EB572F"/>
    <w:rsid w:val="00EC76F3"/>
    <w:rsid w:val="00ED0793"/>
    <w:rsid w:val="00ED1381"/>
    <w:rsid w:val="00ED584C"/>
    <w:rsid w:val="00F0066A"/>
    <w:rsid w:val="00F15A98"/>
    <w:rsid w:val="00F570A0"/>
    <w:rsid w:val="00F84547"/>
    <w:rsid w:val="00FB1282"/>
    <w:rsid w:val="00FB21E4"/>
    <w:rsid w:val="015F42E4"/>
    <w:rsid w:val="0C4E5E32"/>
    <w:rsid w:val="0FD12F72"/>
    <w:rsid w:val="1183057E"/>
    <w:rsid w:val="20BA3FD0"/>
    <w:rsid w:val="24546D07"/>
    <w:rsid w:val="24CA5ECC"/>
    <w:rsid w:val="27465D73"/>
    <w:rsid w:val="294D3BB6"/>
    <w:rsid w:val="29A80723"/>
    <w:rsid w:val="2C076F19"/>
    <w:rsid w:val="2D80271E"/>
    <w:rsid w:val="350F7EFE"/>
    <w:rsid w:val="39273355"/>
    <w:rsid w:val="3AC702FC"/>
    <w:rsid w:val="414E5E29"/>
    <w:rsid w:val="439A5FE0"/>
    <w:rsid w:val="47C14A2D"/>
    <w:rsid w:val="497A5F98"/>
    <w:rsid w:val="49D246CF"/>
    <w:rsid w:val="4DB42096"/>
    <w:rsid w:val="53BD38E3"/>
    <w:rsid w:val="55AF2676"/>
    <w:rsid w:val="57B81486"/>
    <w:rsid w:val="58FD37D0"/>
    <w:rsid w:val="5B1E01CB"/>
    <w:rsid w:val="5BE62C0B"/>
    <w:rsid w:val="5E520129"/>
    <w:rsid w:val="5F6F16D0"/>
    <w:rsid w:val="66886B9C"/>
    <w:rsid w:val="6BC849C4"/>
    <w:rsid w:val="6CE354A8"/>
    <w:rsid w:val="6DDC6A1D"/>
    <w:rsid w:val="6ED1538A"/>
    <w:rsid w:val="6F5E4911"/>
    <w:rsid w:val="6FCF2FC1"/>
    <w:rsid w:val="71567498"/>
    <w:rsid w:val="723A6C34"/>
    <w:rsid w:val="7334084B"/>
    <w:rsid w:val="7B317800"/>
    <w:rsid w:val="7CCA05AF"/>
    <w:rsid w:val="AB3B9508"/>
    <w:rsid w:val="BEB33C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4"/>
    <w:qFormat/>
    <w:uiPriority w:val="99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4">
    <w:name w:val="heading 3"/>
    <w:basedOn w:val="1"/>
    <w:next w:val="1"/>
    <w:link w:val="25"/>
    <w:qFormat/>
    <w:uiPriority w:val="9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5">
    <w:name w:val="heading 4"/>
    <w:basedOn w:val="1"/>
    <w:next w:val="1"/>
    <w:link w:val="26"/>
    <w:qFormat/>
    <w:uiPriority w:val="9"/>
    <w:pPr>
      <w:keepNext/>
      <w:keepLines/>
      <w:outlineLvl w:val="3"/>
    </w:pPr>
    <w:rPr>
      <w:b/>
      <w:bCs/>
      <w:szCs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7"/>
    <w:unhideWhenUsed/>
    <w:qFormat/>
    <w:uiPriority w:val="99"/>
    <w:pPr>
      <w:jc w:val="left"/>
    </w:p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Date"/>
    <w:basedOn w:val="1"/>
    <w:next w:val="1"/>
    <w:link w:val="35"/>
    <w:semiHidden/>
    <w:qFormat/>
    <w:uiPriority w:val="99"/>
    <w:pPr>
      <w:ind w:left="100" w:leftChars="2500"/>
    </w:pPr>
  </w:style>
  <w:style w:type="paragraph" w:styleId="9">
    <w:name w:val="Balloon Text"/>
    <w:basedOn w:val="1"/>
    <w:link w:val="36"/>
    <w:semiHidden/>
    <w:qFormat/>
    <w:uiPriority w:val="99"/>
    <w:rPr>
      <w:sz w:val="18"/>
      <w:szCs w:val="18"/>
    </w:rPr>
  </w:style>
  <w:style w:type="paragraph" w:styleId="10">
    <w:name w:val="footer"/>
    <w:basedOn w:val="1"/>
    <w:link w:val="3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Calibri"/>
      <w:kern w:val="0"/>
      <w:sz w:val="24"/>
      <w:szCs w:val="24"/>
    </w:rPr>
  </w:style>
  <w:style w:type="paragraph" w:styleId="15">
    <w:name w:val="annotation subject"/>
    <w:basedOn w:val="6"/>
    <w:next w:val="6"/>
    <w:link w:val="34"/>
    <w:semiHidden/>
    <w:qFormat/>
    <w:uiPriority w:val="99"/>
    <w:rPr>
      <w:b/>
      <w:bCs/>
    </w:rPr>
  </w:style>
  <w:style w:type="character" w:styleId="18">
    <w:name w:val="Strong"/>
    <w:qFormat/>
    <w:uiPriority w:val="22"/>
    <w:rPr>
      <w:b/>
      <w:bCs/>
    </w:rPr>
  </w:style>
  <w:style w:type="character" w:styleId="19">
    <w:name w:val="page number"/>
    <w:basedOn w:val="17"/>
    <w:qFormat/>
    <w:uiPriority w:val="99"/>
  </w:style>
  <w:style w:type="character" w:styleId="20">
    <w:name w:val="FollowedHyperlink"/>
    <w:semiHidden/>
    <w:qFormat/>
    <w:uiPriority w:val="99"/>
    <w:rPr>
      <w:color w:val="800080"/>
      <w:u w:val="single"/>
    </w:rPr>
  </w:style>
  <w:style w:type="character" w:styleId="21">
    <w:name w:val="Hyperlink"/>
    <w:qFormat/>
    <w:uiPriority w:val="99"/>
    <w:rPr>
      <w:color w:val="0000FF"/>
      <w:u w:val="single"/>
    </w:rPr>
  </w:style>
  <w:style w:type="character" w:styleId="22">
    <w:name w:val="annotation reference"/>
    <w:unhideWhenUsed/>
    <w:qFormat/>
    <w:uiPriority w:val="99"/>
    <w:rPr>
      <w:sz w:val="21"/>
      <w:szCs w:val="21"/>
    </w:rPr>
  </w:style>
  <w:style w:type="character" w:customStyle="1" w:styleId="23">
    <w:name w:val="标题 1 Char"/>
    <w:link w:val="2"/>
    <w:qFormat/>
    <w:uiPriority w:val="9"/>
    <w:rPr>
      <w:rFonts w:ascii="Times New Roman" w:hAnsi="Times New Roman" w:eastAsia="方正小标宋简体"/>
      <w:b/>
      <w:bCs/>
      <w:kern w:val="44"/>
      <w:sz w:val="44"/>
      <w:szCs w:val="44"/>
    </w:rPr>
  </w:style>
  <w:style w:type="character" w:customStyle="1" w:styleId="24">
    <w:name w:val="标题 2 Char"/>
    <w:link w:val="3"/>
    <w:qFormat/>
    <w:uiPriority w:val="9"/>
    <w:rPr>
      <w:rFonts w:ascii="Times New Roman" w:hAnsi="Times New Roman" w:eastAsia="黑体"/>
      <w:b/>
      <w:bCs/>
      <w:sz w:val="30"/>
      <w:szCs w:val="32"/>
    </w:rPr>
  </w:style>
  <w:style w:type="character" w:customStyle="1" w:styleId="25">
    <w:name w:val="标题 3 Char"/>
    <w:link w:val="4"/>
    <w:qFormat/>
    <w:uiPriority w:val="9"/>
    <w:rPr>
      <w:rFonts w:ascii="Times New Roman" w:hAnsi="Times New Roman" w:eastAsia="仿宋_GB2312"/>
      <w:b/>
      <w:bCs/>
      <w:sz w:val="28"/>
      <w:szCs w:val="32"/>
    </w:rPr>
  </w:style>
  <w:style w:type="character" w:customStyle="1" w:styleId="26">
    <w:name w:val="标题 4 Char"/>
    <w:link w:val="5"/>
    <w:qFormat/>
    <w:uiPriority w:val="9"/>
    <w:rPr>
      <w:rFonts w:ascii="Times New Roman" w:hAnsi="Times New Roman" w:eastAsia="仿宋_GB2312"/>
      <w:b/>
      <w:bCs/>
      <w:kern w:val="2"/>
      <w:sz w:val="28"/>
      <w:szCs w:val="28"/>
    </w:rPr>
  </w:style>
  <w:style w:type="character" w:customStyle="1" w:styleId="27">
    <w:name w:val="批注文字 Char"/>
    <w:link w:val="6"/>
    <w:qFormat/>
    <w:uiPriority w:val="99"/>
    <w:rPr>
      <w:rFonts w:ascii="Times New Roman" w:hAnsi="Times New Roman" w:eastAsia="仿宋_GB2312"/>
      <w:kern w:val="2"/>
      <w:sz w:val="28"/>
      <w:szCs w:val="24"/>
    </w:rPr>
  </w:style>
  <w:style w:type="paragraph" w:styleId="28">
    <w:name w:val="No Spacing"/>
    <w:qFormat/>
    <w:uiPriority w:val="1"/>
    <w:pPr>
      <w:widowControl w:val="0"/>
      <w:topLinePunct/>
      <w:ind w:firstLine="200" w:firstLineChars="200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paragraph" w:styleId="29">
    <w:name w:val="List Paragraph"/>
    <w:basedOn w:val="1"/>
    <w:qFormat/>
    <w:uiPriority w:val="99"/>
    <w:pPr>
      <w:ind w:firstLine="420"/>
    </w:pPr>
  </w:style>
  <w:style w:type="paragraph" w:customStyle="1" w:styleId="30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/>
      <w:color w:val="365F91"/>
      <w:kern w:val="0"/>
      <w:sz w:val="28"/>
      <w:szCs w:val="28"/>
    </w:rPr>
  </w:style>
  <w:style w:type="paragraph" w:customStyle="1" w:styleId="31">
    <w:name w:val="目录 31"/>
    <w:basedOn w:val="1"/>
    <w:next w:val="1"/>
    <w:unhideWhenUsed/>
    <w:qFormat/>
    <w:uiPriority w:val="39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32">
    <w:name w:val="目录 11"/>
    <w:basedOn w:val="1"/>
    <w:next w:val="1"/>
    <w:unhideWhenUsed/>
    <w:qFormat/>
    <w:uiPriority w:val="39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33">
    <w:name w:val="目录 21"/>
    <w:basedOn w:val="1"/>
    <w:next w:val="1"/>
    <w:unhideWhenUsed/>
    <w:qFormat/>
    <w:uiPriority w:val="39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34">
    <w:name w:val="批注主题 Char"/>
    <w:basedOn w:val="27"/>
    <w:link w:val="15"/>
    <w:semiHidden/>
    <w:qFormat/>
    <w:uiPriority w:val="99"/>
    <w:rPr>
      <w:rFonts w:ascii="等线" w:hAnsi="等线" w:eastAsia="等线" w:cs="等线"/>
      <w:b/>
      <w:bCs/>
      <w:kern w:val="2"/>
      <w:sz w:val="21"/>
      <w:szCs w:val="21"/>
    </w:rPr>
  </w:style>
  <w:style w:type="character" w:customStyle="1" w:styleId="35">
    <w:name w:val="日期 Char"/>
    <w:basedOn w:val="17"/>
    <w:link w:val="8"/>
    <w:semiHidden/>
    <w:qFormat/>
    <w:uiPriority w:val="99"/>
    <w:rPr>
      <w:rFonts w:ascii="等线" w:hAnsi="等线" w:eastAsia="等线" w:cs="等线"/>
      <w:kern w:val="2"/>
      <w:sz w:val="21"/>
      <w:szCs w:val="21"/>
    </w:rPr>
  </w:style>
  <w:style w:type="character" w:customStyle="1" w:styleId="36">
    <w:name w:val="批注框文本 Char"/>
    <w:basedOn w:val="17"/>
    <w:link w:val="9"/>
    <w:semiHidden/>
    <w:qFormat/>
    <w:uiPriority w:val="99"/>
    <w:rPr>
      <w:rFonts w:ascii="等线" w:hAnsi="等线" w:eastAsia="等线" w:cs="等线"/>
      <w:kern w:val="2"/>
      <w:sz w:val="18"/>
      <w:szCs w:val="18"/>
    </w:rPr>
  </w:style>
  <w:style w:type="character" w:customStyle="1" w:styleId="37">
    <w:name w:val="页脚 Char"/>
    <w:basedOn w:val="17"/>
    <w:link w:val="10"/>
    <w:qFormat/>
    <w:uiPriority w:val="99"/>
    <w:rPr>
      <w:rFonts w:ascii="等线" w:hAnsi="等线" w:eastAsia="等线" w:cs="等线"/>
      <w:kern w:val="2"/>
      <w:sz w:val="18"/>
      <w:szCs w:val="18"/>
    </w:rPr>
  </w:style>
  <w:style w:type="character" w:customStyle="1" w:styleId="38">
    <w:name w:val="页眉 Char"/>
    <w:basedOn w:val="17"/>
    <w:link w:val="11"/>
    <w:qFormat/>
    <w:uiPriority w:val="99"/>
    <w:rPr>
      <w:rFonts w:ascii="等线" w:hAnsi="等线" w:eastAsia="等线" w:cs="等线"/>
      <w:kern w:val="2"/>
      <w:sz w:val="18"/>
      <w:szCs w:val="18"/>
    </w:rPr>
  </w:style>
  <w:style w:type="paragraph" w:customStyle="1" w:styleId="39">
    <w:name w:val="msonormal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0">
    <w:name w:val="xl77"/>
    <w:basedOn w:val="1"/>
    <w:qFormat/>
    <w:uiPriority w:val="99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41">
    <w:name w:val="xl78"/>
    <w:basedOn w:val="1"/>
    <w:qFormat/>
    <w:uiPriority w:val="99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2">
    <w:name w:val="xl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3">
    <w:name w:val="xl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4">
    <w:name w:val="xl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5">
    <w:name w:val="xl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6">
    <w:name w:val="xl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7">
    <w:name w:val="xl84"/>
    <w:basedOn w:val="1"/>
    <w:qFormat/>
    <w:uiPriority w:val="99"/>
    <w:pPr>
      <w:widowControl/>
      <w:pBdr>
        <w:lef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8">
    <w:name w:val="xl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9">
    <w:name w:val="xl8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0">
    <w:name w:val="xl8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1">
    <w:name w:val="xl8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2">
    <w:name w:val="xl8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3">
    <w:name w:val="xl9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4">
    <w:name w:val="xl9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5">
    <w:name w:val="xl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6">
    <w:name w:val="xl9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7">
    <w:name w:val="xl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8">
    <w:name w:val="xl95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9">
    <w:name w:val="xl96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0">
    <w:name w:val="xl97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1">
    <w:name w:val="xl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2">
    <w:name w:val="xl9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3">
    <w:name w:val="xl10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4">
    <w:name w:val="抄 送"/>
    <w:basedOn w:val="1"/>
    <w:qFormat/>
    <w:uiPriority w:val="0"/>
    <w:pPr>
      <w:framePr w:wrap="notBeside" w:vAnchor="margin" w:hAnchor="margin" w:yAlign="bottom"/>
    </w:pPr>
    <w:rPr>
      <w:rFonts w:ascii="Calibri" w:hAnsi="Calibri" w:eastAsia="仿宋_GB2312" w:cs="Calibri"/>
      <w:sz w:val="32"/>
      <w:szCs w:val="32"/>
    </w:rPr>
  </w:style>
  <w:style w:type="paragraph" w:customStyle="1" w:styleId="65">
    <w:name w:val="xl65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66">
    <w:name w:val="xl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18"/>
      <w:szCs w:val="18"/>
    </w:rPr>
  </w:style>
  <w:style w:type="paragraph" w:customStyle="1" w:styleId="67">
    <w:name w:val="xl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18"/>
      <w:szCs w:val="18"/>
    </w:rPr>
  </w:style>
  <w:style w:type="paragraph" w:customStyle="1" w:styleId="68">
    <w:name w:val="xl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69">
    <w:name w:val="xl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70">
    <w:name w:val="xl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71">
    <w:name w:val="xl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2">
    <w:name w:val="xl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3">
    <w:name w:val="xl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18"/>
      <w:szCs w:val="18"/>
    </w:rPr>
  </w:style>
  <w:style w:type="paragraph" w:customStyle="1" w:styleId="74">
    <w:name w:val="xl7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16"/>
      <w:szCs w:val="16"/>
    </w:rPr>
  </w:style>
  <w:style w:type="paragraph" w:customStyle="1" w:styleId="75">
    <w:name w:val="xl75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76">
    <w:name w:val="xl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77">
    <w:name w:val="列出段落1"/>
    <w:basedOn w:val="1"/>
    <w:qFormat/>
    <w:uiPriority w:val="99"/>
    <w:pPr>
      <w:ind w:firstLine="420" w:firstLineChars="200"/>
    </w:pPr>
    <w:rPr>
      <w:rFonts w:ascii="Calibri" w:hAnsi="Calibri" w:eastAsia="宋体" w:cs="Calibri"/>
    </w:rPr>
  </w:style>
  <w:style w:type="paragraph" w:customStyle="1" w:styleId="78">
    <w:name w:val="[Normal]"/>
    <w:unhideWhenUsed/>
    <w:qFormat/>
    <w:uiPriority w:val="0"/>
    <w:rPr>
      <w:rFonts w:hint="eastAsia" w:ascii="宋体" w:hAnsi="宋体" w:eastAsia="宋体" w:cs="Times New Roman"/>
      <w:sz w:val="24"/>
      <w:szCs w:val="24"/>
      <w:lang w:val="zh-CN" w:eastAsia="zh-CN" w:bidi="ar-SA"/>
    </w:rPr>
  </w:style>
  <w:style w:type="paragraph" w:customStyle="1" w:styleId="79">
    <w:name w:val="正文1"/>
    <w:basedOn w:val="78"/>
    <w:unhideWhenUsed/>
    <w:qFormat/>
    <w:uiPriority w:val="0"/>
    <w:pPr>
      <w:jc w:val="both"/>
    </w:pPr>
    <w:rPr>
      <w:rFonts w:hint="default" w:ascii="Times New Roman" w:hAnsi="Times New Roman" w:eastAsia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1585</Words>
  <Characters>304</Characters>
  <Lines>2</Lines>
  <Paragraphs>3</Paragraphs>
  <TotalTime>74</TotalTime>
  <ScaleCrop>false</ScaleCrop>
  <LinksUpToDate>false</LinksUpToDate>
  <CharactersWithSpaces>1886</CharactersWithSpaces>
  <Application>WPS Office_11.8.2.1121_F1E327BC-269C-435d-A152-05C5408002CA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2020-08-13T01:04:00Z</dcterms:created>
  <dc:creator>微软用户</dc:creator>
  <cp:lastModifiedBy>市文联办工作人员</cp:lastModifiedBy>
  <cp:lastPrinted>2024-03-21T10:56:00Z</cp:lastPrinted>
  <dcterms:modified xsi:type="dcterms:W3CDTF">2024-10-11T17:17:09Z</dcterms:modified>
  <cp:revision>425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2052-11.8.2.1121</vt:lpwstr>
  </property>
  <property fmtid="{D5CDD505-2E9C-101B-9397-08002B2CF9AE}" pid="3" name="ICV">
    <vt:lpwstr>58BD6D8F82E541EDB4A5C1F82120F284</vt:lpwstr>
  </property>
</Properties>
</file>