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方正小标宋简体" w:eastAsia="方正小标宋简体" w:cs="Times New Roman"/>
        </w:rPr>
      </w:pPr>
    </w:p>
    <w:p>
      <w:pPr>
        <w:jc w:val="center"/>
        <w:rPr>
          <w:rFonts w:ascii="仿宋" w:hAnsi="仿宋" w:eastAsia="仿宋" w:cs="Times New Roman"/>
          <w:sz w:val="32"/>
          <w:szCs w:val="32"/>
        </w:rPr>
      </w:pPr>
      <w:r>
        <w:rPr>
          <w:rFonts w:hint="eastAsia" w:ascii="方正小标宋简体" w:hAnsi="Arial" w:eastAsia="方正小标宋简体" w:cs="方正小标宋简体"/>
          <w:sz w:val="36"/>
          <w:szCs w:val="36"/>
          <w:lang w:eastAsia="zh-CN"/>
        </w:rPr>
        <w:t>2022</w:t>
      </w:r>
      <w:r>
        <w:rPr>
          <w:rFonts w:hint="eastAsia" w:ascii="方正小标宋简体" w:hAnsi="Arial" w:eastAsia="方正小标宋简体" w:cs="方正小标宋简体"/>
          <w:sz w:val="36"/>
          <w:szCs w:val="36"/>
        </w:rPr>
        <w:t>年度</w:t>
      </w:r>
      <w:r>
        <w:rPr>
          <w:rFonts w:hint="eastAsia" w:ascii="方正小标宋简体" w:hAnsi="宋体" w:eastAsia="方正小标宋简体" w:cs="方正小标宋简体"/>
          <w:sz w:val="36"/>
          <w:szCs w:val="36"/>
        </w:rPr>
        <w:t>文化主题及社会活动专项</w:t>
      </w:r>
      <w:r>
        <w:rPr>
          <w:rFonts w:hint="eastAsia" w:ascii="方正小标宋简体" w:hAnsi="Arial" w:eastAsia="方正小标宋简体" w:cs="方正小标宋简体"/>
          <w:sz w:val="36"/>
          <w:szCs w:val="36"/>
        </w:rPr>
        <w:t>绩效自评结果</w:t>
      </w:r>
    </w:p>
    <w:p>
      <w:pPr>
        <w:ind w:firstLine="640" w:firstLineChars="200"/>
        <w:rPr>
          <w:rFonts w:ascii="黑体" w:hAnsi="黑体" w:eastAsia="黑体" w:cs="Times New Roman"/>
          <w:sz w:val="32"/>
          <w:szCs w:val="32"/>
        </w:rPr>
      </w:pPr>
      <w:r>
        <w:rPr>
          <w:rFonts w:hint="eastAsia" w:ascii="黑体" w:hAnsi="黑体" w:eastAsia="黑体" w:cs="黑体"/>
          <w:sz w:val="32"/>
          <w:szCs w:val="32"/>
        </w:rPr>
        <w:t>一、自评结论</w:t>
      </w:r>
    </w:p>
    <w:p>
      <w:pPr>
        <w:ind w:firstLine="640" w:firstLineChars="200"/>
        <w:rPr>
          <w:rFonts w:ascii="楷体_GB2312" w:hAnsi="楷体" w:eastAsia="楷体_GB2312" w:cs="楷体_GB2312"/>
          <w:sz w:val="32"/>
          <w:szCs w:val="32"/>
        </w:rPr>
      </w:pPr>
      <w:r>
        <w:rPr>
          <w:rFonts w:hint="eastAsia" w:ascii="楷体_GB2312" w:hAnsi="楷体" w:eastAsia="楷体_GB2312" w:cs="楷体_GB2312"/>
          <w:sz w:val="32"/>
          <w:szCs w:val="32"/>
        </w:rPr>
        <w:t>（一）自评得分</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市文联</w:t>
      </w:r>
      <w:r>
        <w:rPr>
          <w:rFonts w:hint="eastAsia" w:ascii="仿宋_GB2312" w:eastAsia="仿宋_GB2312" w:cs="仿宋_GB2312"/>
          <w:sz w:val="32"/>
          <w:szCs w:val="32"/>
          <w:lang w:eastAsia="zh-CN"/>
        </w:rPr>
        <w:t>2022</w:t>
      </w:r>
      <w:r>
        <w:rPr>
          <w:rFonts w:hint="eastAsia" w:ascii="仿宋_GB2312" w:eastAsia="仿宋_GB2312" w:cs="仿宋_GB2312"/>
          <w:sz w:val="32"/>
          <w:szCs w:val="32"/>
        </w:rPr>
        <w:t>年度文化主题及社会活动专项自评得分</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分。</w:t>
      </w:r>
    </w:p>
    <w:p>
      <w:pPr>
        <w:ind w:firstLine="640" w:firstLineChars="200"/>
        <w:rPr>
          <w:rFonts w:ascii="楷体_GB2312" w:hAnsi="楷体" w:eastAsia="楷体_GB2312" w:cs="Times New Roman"/>
          <w:sz w:val="32"/>
          <w:szCs w:val="32"/>
        </w:rPr>
      </w:pPr>
      <w:r>
        <w:rPr>
          <w:rFonts w:hint="eastAsia" w:ascii="楷体_GB2312" w:hAnsi="楷体" w:eastAsia="楷体_GB2312" w:cs="楷体_GB2312"/>
          <w:sz w:val="32"/>
          <w:szCs w:val="32"/>
        </w:rPr>
        <w:t>（二）绩效目标完成情况</w:t>
      </w:r>
    </w:p>
    <w:p>
      <w:pPr>
        <w:ind w:firstLine="640" w:firstLineChars="200"/>
        <w:rPr>
          <w:rFonts w:ascii="仿宋_GB2312" w:eastAsia="仿宋_GB2312" w:cs="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执行率情况。</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市文联</w:t>
      </w:r>
      <w:r>
        <w:rPr>
          <w:rFonts w:hint="eastAsia" w:ascii="仿宋_GB2312" w:eastAsia="仿宋_GB2312" w:cs="仿宋_GB2312"/>
          <w:sz w:val="32"/>
          <w:szCs w:val="32"/>
          <w:lang w:eastAsia="zh-CN"/>
        </w:rPr>
        <w:t>20</w:t>
      </w:r>
      <w:bookmarkStart w:id="0" w:name="_GoBack"/>
      <w:bookmarkEnd w:id="0"/>
      <w:r>
        <w:rPr>
          <w:rFonts w:hint="eastAsia" w:ascii="仿宋_GB2312" w:eastAsia="仿宋_GB2312" w:cs="仿宋_GB2312"/>
          <w:sz w:val="32"/>
          <w:szCs w:val="32"/>
          <w:lang w:eastAsia="zh-CN"/>
        </w:rPr>
        <w:t>22</w:t>
      </w:r>
      <w:r>
        <w:rPr>
          <w:rFonts w:hint="eastAsia" w:ascii="仿宋_GB2312" w:eastAsia="仿宋_GB2312" w:cs="仿宋_GB2312"/>
          <w:sz w:val="32"/>
          <w:szCs w:val="32"/>
        </w:rPr>
        <w:t>年度文化主题及社会活动专项执行率为</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ind w:firstLine="640" w:firstLineChars="200"/>
        <w:rPr>
          <w:rFonts w:ascii="仿宋_GB2312" w:eastAsia="仿宋_GB2312" w:cs="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完成的绩效目标。</w:t>
      </w:r>
    </w:p>
    <w:p>
      <w:pPr>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文化主题及社会活动专项，是市文联</w:t>
      </w:r>
      <w:r>
        <w:rPr>
          <w:rFonts w:hint="eastAsia" w:ascii="仿宋_GB2312" w:eastAsia="仿宋_GB2312" w:cs="仿宋_GB2312"/>
          <w:sz w:val="32"/>
          <w:szCs w:val="32"/>
          <w:lang w:eastAsia="zh-CN"/>
        </w:rPr>
        <w:t>围绕</w:t>
      </w:r>
      <w:r>
        <w:rPr>
          <w:rFonts w:hint="eastAsia" w:ascii="仿宋_GB2312" w:eastAsia="仿宋_GB2312" w:cs="仿宋_GB2312"/>
          <w:sz w:val="32"/>
          <w:szCs w:val="32"/>
        </w:rPr>
        <w:t>“出精品、出人才”</w:t>
      </w:r>
      <w:r>
        <w:rPr>
          <w:rFonts w:hint="eastAsia" w:ascii="仿宋_GB2312" w:eastAsia="仿宋_GB2312" w:cs="仿宋_GB2312"/>
          <w:sz w:val="32"/>
          <w:szCs w:val="32"/>
          <w:lang w:eastAsia="zh-CN"/>
        </w:rPr>
        <w:t>目标</w:t>
      </w:r>
      <w:r>
        <w:rPr>
          <w:rFonts w:hint="eastAsia" w:ascii="仿宋_GB2312" w:eastAsia="仿宋_GB2312" w:cs="仿宋_GB2312"/>
          <w:sz w:val="32"/>
          <w:szCs w:val="32"/>
        </w:rPr>
        <w:t>，</w:t>
      </w:r>
      <w:r>
        <w:rPr>
          <w:rFonts w:hint="eastAsia" w:ascii="仿宋_GB2312" w:eastAsia="仿宋_GB2312" w:cs="仿宋_GB2312"/>
          <w:sz w:val="32"/>
          <w:szCs w:val="32"/>
          <w:lang w:eastAsia="zh-CN"/>
        </w:rPr>
        <w:t>勇于担当，主动作为，</w:t>
      </w:r>
      <w:r>
        <w:rPr>
          <w:rFonts w:hint="eastAsia" w:ascii="仿宋_GB2312" w:eastAsia="仿宋_GB2312" w:cs="仿宋_GB2312"/>
          <w:sz w:val="32"/>
          <w:szCs w:val="32"/>
        </w:rPr>
        <w:t>全力推进</w:t>
      </w:r>
      <w:r>
        <w:rPr>
          <w:rFonts w:hint="eastAsia" w:ascii="仿宋_GB2312" w:eastAsia="仿宋_GB2312" w:cs="仿宋_GB2312"/>
          <w:sz w:val="32"/>
          <w:szCs w:val="32"/>
          <w:lang w:eastAsia="zh-CN"/>
        </w:rPr>
        <w:t>襄阳</w:t>
      </w:r>
      <w:r>
        <w:rPr>
          <w:rFonts w:hint="eastAsia" w:ascii="仿宋_GB2312" w:eastAsia="仿宋_GB2312" w:cs="仿宋_GB2312"/>
          <w:sz w:val="32"/>
          <w:szCs w:val="32"/>
        </w:rPr>
        <w:t>文艺事业繁荣发展</w:t>
      </w:r>
      <w:r>
        <w:rPr>
          <w:rFonts w:hint="eastAsia" w:ascii="仿宋_GB2312" w:eastAsia="仿宋_GB2312" w:cs="仿宋_GB2312"/>
          <w:sz w:val="32"/>
          <w:szCs w:val="32"/>
          <w:lang w:eastAsia="zh-CN"/>
        </w:rPr>
        <w:t>的重要举措。市文联</w:t>
      </w:r>
      <w:r>
        <w:rPr>
          <w:rFonts w:hint="eastAsia" w:ascii="仿宋_GB2312" w:eastAsia="仿宋_GB2312" w:cs="仿宋_GB2312"/>
          <w:sz w:val="32"/>
          <w:szCs w:val="32"/>
        </w:rPr>
        <w:t>坚持与时代同步伐</w:t>
      </w:r>
      <w:r>
        <w:rPr>
          <w:rFonts w:hint="eastAsia" w:ascii="仿宋_GB2312" w:eastAsia="仿宋_GB2312" w:cs="仿宋_GB2312"/>
          <w:sz w:val="32"/>
          <w:szCs w:val="32"/>
          <w:lang w:eastAsia="zh-CN"/>
        </w:rPr>
        <w:t>，坚持</w:t>
      </w:r>
      <w:r>
        <w:rPr>
          <w:rFonts w:hint="eastAsia" w:ascii="仿宋_GB2312" w:eastAsia="仿宋_GB2312" w:cs="仿宋_GB2312"/>
          <w:sz w:val="32"/>
          <w:szCs w:val="32"/>
        </w:rPr>
        <w:t>以人民</w:t>
      </w:r>
      <w:r>
        <w:rPr>
          <w:rFonts w:hint="eastAsia" w:ascii="仿宋_GB2312" w:eastAsia="仿宋_GB2312" w:cs="仿宋_GB2312"/>
          <w:sz w:val="32"/>
          <w:szCs w:val="32"/>
          <w:lang w:eastAsia="zh-CN"/>
        </w:rPr>
        <w:t>为中心，坚持以精品奉献人民，坚持用明德引领风尚，通过加强新文艺群体建设、协会组织管理，开展对外交流、文艺研讨、座谈及重点项目扶持等活动，不断提升文艺服务质量，促进文艺人才的成长，催生文学艺术精品，提升文艺影响力，推动襄阳文艺事业繁荣发展。</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3.未完成的绩效目标。</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无</w:t>
      </w:r>
    </w:p>
    <w:p>
      <w:pPr>
        <w:ind w:firstLine="320" w:firstLineChars="100"/>
        <w:rPr>
          <w:rFonts w:ascii="楷体_GB2312" w:hAnsi="楷体" w:eastAsia="楷体_GB2312" w:cs="Times New Roman"/>
          <w:sz w:val="32"/>
          <w:szCs w:val="32"/>
        </w:rPr>
      </w:pPr>
      <w:r>
        <w:rPr>
          <w:rFonts w:hint="eastAsia" w:ascii="楷体_GB2312" w:hAnsi="楷体" w:eastAsia="楷体_GB2312" w:cs="楷体_GB2312"/>
          <w:sz w:val="32"/>
          <w:szCs w:val="32"/>
        </w:rPr>
        <w:t>（三）存在的问题和原因</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工作顺利开展，按照年初计划完成了工作目标。</w:t>
      </w:r>
    </w:p>
    <w:p>
      <w:pPr>
        <w:ind w:firstLine="320" w:firstLineChars="100"/>
        <w:rPr>
          <w:rFonts w:ascii="楷体_GB2312" w:hAnsi="楷体" w:eastAsia="楷体_GB2312" w:cs="Times New Roman"/>
          <w:sz w:val="32"/>
          <w:szCs w:val="32"/>
        </w:rPr>
      </w:pPr>
      <w:r>
        <w:rPr>
          <w:rFonts w:hint="eastAsia" w:ascii="楷体_GB2312" w:hAnsi="楷体" w:eastAsia="楷体_GB2312" w:cs="楷体_GB2312"/>
          <w:sz w:val="32"/>
          <w:szCs w:val="32"/>
        </w:rPr>
        <w:t>（四）下一步拟改进措施</w:t>
      </w:r>
    </w:p>
    <w:p>
      <w:pPr>
        <w:ind w:firstLine="640" w:firstLineChars="200"/>
        <w:rPr>
          <w:rFonts w:ascii="仿宋_GB2312" w:eastAsia="仿宋_GB2312" w:cs="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下一步拟改进措施</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加强协会财务等工作的管理，加强新文艺群体建设，不定期开展研讨会等活动，加大文艺宣传力度。</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提升文艺服务，加强文艺活动宣传，提升文艺影响力，让更多人民群众受益。</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认真策划各项文艺活动，严格遵守相关程序。市文联会同相关协会，围绕市委</w:t>
      </w:r>
      <w:r>
        <w:rPr>
          <w:rFonts w:hint="eastAsia" w:ascii="仿宋_GB2312" w:eastAsia="仿宋_GB2312" w:cs="仿宋_GB2312"/>
          <w:sz w:val="32"/>
          <w:szCs w:val="32"/>
          <w:lang w:eastAsia="zh-CN"/>
        </w:rPr>
        <w:t>、市政府</w:t>
      </w:r>
      <w:r>
        <w:rPr>
          <w:rFonts w:hint="eastAsia" w:ascii="仿宋_GB2312" w:eastAsia="仿宋_GB2312" w:cs="仿宋_GB2312"/>
          <w:sz w:val="32"/>
          <w:szCs w:val="32"/>
        </w:rPr>
        <w:t>中心工作，策划具体项目，制定方案，按照方案具体实施</w:t>
      </w:r>
      <w:r>
        <w:rPr>
          <w:rFonts w:hint="eastAsia" w:ascii="仿宋_GB2312" w:eastAsia="仿宋_GB2312" w:cs="仿宋_GB2312"/>
          <w:sz w:val="32"/>
          <w:szCs w:val="32"/>
          <w:lang w:eastAsia="zh-CN"/>
        </w:rPr>
        <w:t>，并取得良好效果</w:t>
      </w:r>
      <w:r>
        <w:rPr>
          <w:rFonts w:hint="eastAsia" w:ascii="仿宋_GB2312" w:eastAsia="仿宋_GB2312" w:cs="仿宋_GB2312"/>
          <w:sz w:val="32"/>
          <w:szCs w:val="32"/>
        </w:rPr>
        <w:t>。</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2.拟与预算安排相结合情况</w:t>
      </w:r>
    </w:p>
    <w:p>
      <w:pPr>
        <w:rPr>
          <w:rFonts w:ascii="仿宋_GB2312" w:eastAsia="仿宋_GB2312" w:cs="仿宋_GB2312"/>
          <w:sz w:val="32"/>
          <w:szCs w:val="32"/>
        </w:rPr>
      </w:pPr>
      <w:r>
        <w:rPr>
          <w:rFonts w:hint="eastAsia" w:ascii="仿宋_GB2312" w:eastAsia="仿宋_GB2312" w:cs="仿宋_GB2312"/>
          <w:sz w:val="32"/>
          <w:szCs w:val="32"/>
        </w:rPr>
        <w:t xml:space="preserve">    根据市财政局对项目资金预算批复的文件精神，项目资金到位及时，到位率100%。</w:t>
      </w:r>
      <w:r>
        <w:rPr>
          <w:rFonts w:hint="eastAsia" w:ascii="仿宋_GB2312" w:eastAsia="仿宋_GB2312" w:cs="仿宋_GB2312"/>
          <w:sz w:val="32"/>
          <w:szCs w:val="32"/>
          <w:lang w:eastAsia="zh-CN"/>
        </w:rPr>
        <w:t>2022</w:t>
      </w:r>
      <w:r>
        <w:rPr>
          <w:rFonts w:hint="eastAsia" w:ascii="仿宋_GB2312" w:eastAsia="仿宋_GB2312" w:cs="仿宋_GB2312"/>
          <w:sz w:val="32"/>
          <w:szCs w:val="32"/>
        </w:rPr>
        <w:t>年项目绩效和整体绩效已作为</w:t>
      </w:r>
      <w:r>
        <w:rPr>
          <w:rFonts w:hint="eastAsia" w:ascii="仿宋_GB2312" w:eastAsia="仿宋_GB2312" w:cs="仿宋_GB2312"/>
          <w:sz w:val="32"/>
          <w:szCs w:val="32"/>
          <w:lang w:eastAsia="zh-CN"/>
        </w:rPr>
        <w:t>2022</w:t>
      </w:r>
      <w:r>
        <w:rPr>
          <w:rFonts w:hint="eastAsia" w:ascii="仿宋_GB2312" w:eastAsia="仿宋_GB2312" w:cs="仿宋_GB2312"/>
          <w:sz w:val="32"/>
          <w:szCs w:val="32"/>
        </w:rPr>
        <w:t>预算附件在市级网站公开，绩效评价情况也将按时上报和公开。</w:t>
      </w:r>
    </w:p>
    <w:p>
      <w:pPr>
        <w:ind w:firstLine="640" w:firstLineChars="200"/>
        <w:rPr>
          <w:rFonts w:ascii="楷体_GB2312" w:hAnsi="楷体" w:eastAsia="楷体_GB2312" w:cs="Times New Roman"/>
          <w:sz w:val="32"/>
          <w:szCs w:val="32"/>
        </w:rPr>
      </w:pPr>
      <w:r>
        <w:rPr>
          <w:rFonts w:hint="eastAsia" w:ascii="楷体_GB2312" w:hAnsi="楷体" w:eastAsia="楷体_GB2312" w:cs="楷体_GB2312"/>
          <w:sz w:val="32"/>
          <w:szCs w:val="32"/>
        </w:rPr>
        <w:t>附件：</w:t>
      </w:r>
      <w:r>
        <w:rPr>
          <w:rFonts w:hint="eastAsia" w:ascii="楷体_GB2312" w:hAnsi="楷体" w:eastAsia="楷体_GB2312" w:cs="楷体_GB2312"/>
          <w:sz w:val="32"/>
          <w:szCs w:val="32"/>
          <w:lang w:eastAsia="zh-CN"/>
        </w:rPr>
        <w:t>2022</w:t>
      </w:r>
      <w:r>
        <w:rPr>
          <w:rFonts w:hint="eastAsia" w:ascii="楷体_GB2312" w:hAnsi="楷体" w:eastAsia="楷体_GB2312" w:cs="楷体_GB2312"/>
          <w:sz w:val="32"/>
          <w:szCs w:val="32"/>
        </w:rPr>
        <w:t>年度文化主题及社会活动专项绩效自评表（附后）</w:t>
      </w:r>
    </w:p>
    <w:p>
      <w:pPr>
        <w:ind w:firstLine="640" w:firstLineChars="200"/>
        <w:rPr>
          <w:rFonts w:ascii="黑体" w:hAnsi="黑体" w:eastAsia="黑体" w:cs="Times New Roman"/>
          <w:sz w:val="32"/>
          <w:szCs w:val="32"/>
        </w:rPr>
      </w:pPr>
      <w:r>
        <w:rPr>
          <w:rFonts w:hint="eastAsia" w:ascii="黑体" w:hAnsi="黑体" w:eastAsia="黑体" w:cs="黑体"/>
          <w:sz w:val="32"/>
          <w:szCs w:val="32"/>
        </w:rPr>
        <w:t>二、佐证材料</w:t>
      </w:r>
    </w:p>
    <w:p>
      <w:pPr>
        <w:ind w:firstLine="640" w:firstLineChars="200"/>
        <w:rPr>
          <w:rFonts w:ascii="楷体_GB2312" w:hAnsi="楷体" w:eastAsia="楷体_GB2312" w:cs="Times New Roman"/>
          <w:sz w:val="32"/>
          <w:szCs w:val="32"/>
        </w:rPr>
      </w:pPr>
      <w:r>
        <w:rPr>
          <w:rFonts w:hint="eastAsia" w:ascii="楷体_GB2312" w:hAnsi="楷体" w:eastAsia="楷体_GB2312" w:cs="楷体_GB2312"/>
          <w:sz w:val="32"/>
          <w:szCs w:val="32"/>
        </w:rPr>
        <w:t>（一）基本情况</w:t>
      </w:r>
    </w:p>
    <w:p>
      <w:pPr>
        <w:ind w:firstLine="640" w:firstLineChars="200"/>
        <w:rPr>
          <w:rFonts w:ascii="仿宋_GB2312" w:eastAsia="仿宋_GB2312" w:cs="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简要概述项目立项目的和年度绩效目标。</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立项目的:通过新文艺群体建设、协会组织管理、对外交流、开展研讨会、互联网文艺</w:t>
      </w:r>
      <w:r>
        <w:rPr>
          <w:rFonts w:hint="eastAsia" w:ascii="仿宋_GB2312" w:eastAsia="仿宋_GB2312" w:cs="仿宋_GB2312"/>
          <w:sz w:val="32"/>
          <w:szCs w:val="32"/>
          <w:lang w:eastAsia="zh-CN"/>
        </w:rPr>
        <w:t>、文艺扶贫</w:t>
      </w:r>
      <w:r>
        <w:rPr>
          <w:rFonts w:hint="eastAsia" w:ascii="仿宋_GB2312" w:eastAsia="仿宋_GB2312" w:cs="仿宋_GB2312"/>
          <w:sz w:val="32"/>
          <w:szCs w:val="32"/>
        </w:rPr>
        <w:t>等项目，不断提升文艺服务质量，提升文艺影响力，推动襄阳文艺事业繁荣发展。</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年度绩效目标:提升文艺服务，加强文艺活动宣传，提升文艺影响力。加强新文艺群体建设，不定期开展研讨会等活动，加大文艺宣传力度</w:t>
      </w:r>
      <w:r>
        <w:rPr>
          <w:rFonts w:hint="eastAsia" w:ascii="仿宋_GB2312" w:eastAsia="仿宋_GB2312" w:cs="仿宋_GB2312"/>
          <w:sz w:val="32"/>
          <w:szCs w:val="32"/>
          <w:lang w:eastAsia="zh-CN"/>
        </w:rPr>
        <w:t>，</w:t>
      </w:r>
      <w:r>
        <w:rPr>
          <w:rFonts w:hint="eastAsia" w:ascii="仿宋_GB2312" w:eastAsia="仿宋_GB2312" w:cs="仿宋_GB2312"/>
          <w:sz w:val="32"/>
          <w:szCs w:val="32"/>
        </w:rPr>
        <w:t>让更多人民群众受益。</w:t>
      </w:r>
    </w:p>
    <w:p>
      <w:pPr>
        <w:numPr>
          <w:ilvl w:val="0"/>
          <w:numId w:val="1"/>
        </w:numPr>
        <w:ind w:firstLine="640" w:firstLineChars="200"/>
        <w:rPr>
          <w:rFonts w:ascii="仿宋_GB2312" w:eastAsia="仿宋_GB2312" w:cs="仿宋_GB2312"/>
          <w:sz w:val="32"/>
          <w:szCs w:val="32"/>
        </w:rPr>
      </w:pPr>
      <w:r>
        <w:rPr>
          <w:rFonts w:hint="eastAsia" w:ascii="仿宋_GB2312" w:eastAsia="仿宋_GB2312" w:cs="仿宋_GB2312"/>
          <w:sz w:val="32"/>
          <w:szCs w:val="32"/>
        </w:rPr>
        <w:t>简要概述项目资金情况</w:t>
      </w:r>
    </w:p>
    <w:p>
      <w:pPr>
        <w:ind w:firstLine="640" w:firstLineChars="200"/>
        <w:rPr>
          <w:rFonts w:ascii="仿宋_GB2312" w:eastAsia="仿宋_GB2312" w:cs="Times New Roman"/>
          <w:sz w:val="32"/>
          <w:szCs w:val="32"/>
        </w:rPr>
      </w:pPr>
      <w:r>
        <w:rPr>
          <w:rFonts w:hint="eastAsia" w:ascii="仿宋_GB2312" w:eastAsia="仿宋_GB2312" w:cs="仿宋_GB2312"/>
          <w:sz w:val="32"/>
          <w:szCs w:val="32"/>
          <w:lang w:val="en-US" w:eastAsia="zh-CN"/>
        </w:rPr>
        <w:t>44.64</w:t>
      </w:r>
      <w:r>
        <w:rPr>
          <w:rFonts w:hint="eastAsia" w:ascii="仿宋_GB2312" w:eastAsia="仿宋_GB2312" w:cs="仿宋_GB2312"/>
          <w:sz w:val="32"/>
          <w:szCs w:val="32"/>
        </w:rPr>
        <w:t>万元文化主题及社会活动专项属于财政拨款资金结构，属于常年性项目。</w:t>
      </w:r>
    </w:p>
    <w:p>
      <w:pPr>
        <w:ind w:firstLine="640" w:firstLineChars="200"/>
        <w:rPr>
          <w:rFonts w:ascii="楷体_GB2312" w:hAnsi="楷体" w:eastAsia="楷体_GB2312" w:cs="Times New Roman"/>
          <w:sz w:val="32"/>
          <w:szCs w:val="32"/>
        </w:rPr>
      </w:pPr>
      <w:r>
        <w:rPr>
          <w:rFonts w:hint="eastAsia" w:ascii="楷体_GB2312" w:hAnsi="楷体" w:eastAsia="楷体_GB2312" w:cs="楷体_GB2312"/>
          <w:sz w:val="32"/>
          <w:szCs w:val="32"/>
        </w:rPr>
        <w:t>（二）部门自评工作开展情况</w:t>
      </w:r>
    </w:p>
    <w:p>
      <w:pPr>
        <w:ind w:firstLine="640" w:firstLineChars="200"/>
        <w:rPr>
          <w:rFonts w:ascii="仿宋_GB2312" w:hAnsi="楷体" w:eastAsia="仿宋_GB2312" w:cs="Times New Roman"/>
          <w:kern w:val="0"/>
          <w:sz w:val="32"/>
          <w:szCs w:val="32"/>
        </w:rPr>
      </w:pPr>
      <w:r>
        <w:rPr>
          <w:rFonts w:hint="eastAsia" w:ascii="仿宋_GB2312" w:hAnsi="楷体" w:eastAsia="仿宋_GB2312" w:cs="仿宋_GB2312"/>
          <w:kern w:val="0"/>
          <w:sz w:val="32"/>
          <w:szCs w:val="32"/>
        </w:rPr>
        <w:t>为更好地开展项目绩效自评工作，市文联按照绩效评价的系列规定对文化主题及社会活动专项实施过程、资金使用过程的合理性和等各方面进行评价和分析。</w:t>
      </w:r>
    </w:p>
    <w:p>
      <w:pPr>
        <w:ind w:firstLine="640" w:firstLineChars="200"/>
        <w:rPr>
          <w:rFonts w:ascii="楷体_GB2312" w:hAnsi="楷体" w:eastAsia="楷体_GB2312" w:cs="Times New Roman"/>
          <w:sz w:val="32"/>
          <w:szCs w:val="32"/>
        </w:rPr>
      </w:pPr>
      <w:r>
        <w:rPr>
          <w:rFonts w:hint="eastAsia" w:ascii="楷体_GB2312" w:hAnsi="楷体" w:eastAsia="楷体_GB2312" w:cs="楷体_GB2312"/>
          <w:sz w:val="32"/>
          <w:szCs w:val="32"/>
        </w:rPr>
        <w:t>（三）绩效目标完成情况分析</w:t>
      </w:r>
    </w:p>
    <w:p>
      <w:pPr>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1.预算执行情况分析</w:t>
      </w:r>
    </w:p>
    <w:p>
      <w:pPr>
        <w:ind w:firstLine="640" w:firstLineChars="200"/>
        <w:rPr>
          <w:rFonts w:hint="eastAsia" w:ascii="仿宋_GB2312" w:eastAsia="仿宋_GB2312" w:cs="仿宋_GB2312"/>
          <w:sz w:val="32"/>
          <w:szCs w:val="32"/>
        </w:rPr>
      </w:pPr>
      <w:r>
        <w:rPr>
          <w:rFonts w:hint="eastAsia" w:ascii="仿宋_GB2312" w:hAnsi="仿宋_GB2312" w:eastAsia="仿宋_GB2312" w:cs="仿宋_GB2312"/>
          <w:sz w:val="32"/>
          <w:szCs w:val="32"/>
        </w:rPr>
        <w:t>预算执行完成了</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eastAsia="仿宋_GB2312" w:cs="仿宋_GB2312"/>
          <w:sz w:val="32"/>
          <w:szCs w:val="32"/>
        </w:rPr>
        <w:t>工作顺利开展，按照年初计划完成了工作目标。指标分值</w:t>
      </w:r>
      <w:r>
        <w:rPr>
          <w:rFonts w:hint="eastAsia" w:ascii="仿宋_GB2312" w:eastAsia="仿宋_GB2312" w:cs="仿宋_GB2312"/>
          <w:sz w:val="32"/>
          <w:szCs w:val="32"/>
          <w:lang w:val="en-US" w:eastAsia="zh-CN"/>
        </w:rPr>
        <w:t>20</w:t>
      </w:r>
      <w:r>
        <w:rPr>
          <w:rFonts w:hint="eastAsia" w:ascii="仿宋_GB2312" w:eastAsia="仿宋_GB2312" w:cs="仿宋_GB2312"/>
          <w:sz w:val="32"/>
          <w:szCs w:val="32"/>
        </w:rPr>
        <w:t>分，得分</w:t>
      </w:r>
      <w:r>
        <w:rPr>
          <w:rFonts w:hint="eastAsia" w:ascii="仿宋_GB2312" w:eastAsia="仿宋_GB2312" w:cs="仿宋_GB2312"/>
          <w:sz w:val="32"/>
          <w:szCs w:val="32"/>
          <w:lang w:val="en-US" w:eastAsia="zh-CN"/>
        </w:rPr>
        <w:t>20</w:t>
      </w:r>
      <w:r>
        <w:rPr>
          <w:rFonts w:hint="eastAsia" w:ascii="仿宋_GB2312" w:eastAsia="仿宋_GB2312" w:cs="仿宋_GB2312"/>
          <w:sz w:val="32"/>
          <w:szCs w:val="32"/>
        </w:rPr>
        <w:t>分。</w:t>
      </w:r>
    </w:p>
    <w:p>
      <w:pPr>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2.绩效目标完成情况分析</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）产出指标完成情况分析</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从成本、数量、时效、质量角度分析，</w:t>
      </w:r>
      <w:r>
        <w:rPr>
          <w:rFonts w:hint="eastAsia" w:ascii="仿宋_GB2312" w:eastAsia="仿宋_GB2312" w:cs="仿宋_GB2312"/>
          <w:sz w:val="32"/>
          <w:szCs w:val="32"/>
          <w:lang w:val="en-US" w:eastAsia="zh-CN"/>
        </w:rPr>
        <w:t>44.64</w:t>
      </w:r>
      <w:r>
        <w:rPr>
          <w:rFonts w:hint="eastAsia" w:ascii="仿宋_GB2312" w:eastAsia="仿宋_GB2312" w:cs="仿宋_GB2312"/>
          <w:sz w:val="32"/>
          <w:szCs w:val="32"/>
        </w:rPr>
        <w:t>万元用于包括</w:t>
      </w:r>
      <w:r>
        <w:rPr>
          <w:rFonts w:hint="eastAsia" w:ascii="仿宋_GB2312" w:eastAsia="仿宋_GB2312" w:cs="仿宋_GB2312"/>
          <w:sz w:val="32"/>
          <w:szCs w:val="32"/>
          <w:lang w:eastAsia="zh-CN"/>
        </w:rPr>
        <w:t>文艺志愿服务活动、</w:t>
      </w:r>
      <w:r>
        <w:rPr>
          <w:rFonts w:hint="eastAsia" w:ascii="仿宋_GB2312" w:eastAsia="仿宋_GB2312" w:cs="仿宋_GB2312"/>
          <w:sz w:val="32"/>
          <w:szCs w:val="32"/>
        </w:rPr>
        <w:t>对外文艺交流及展演、互联网文艺、文艺笔会、研讨会、座谈调研、文艺扶贫专项资金、协会服务管理、协会组织建设、新文艺群体建设</w:t>
      </w:r>
      <w:r>
        <w:rPr>
          <w:rFonts w:hint="eastAsia" w:ascii="仿宋_GB2312" w:eastAsia="仿宋_GB2312" w:cs="仿宋_GB2312"/>
          <w:sz w:val="32"/>
          <w:szCs w:val="32"/>
          <w:lang w:eastAsia="zh-CN"/>
        </w:rPr>
        <w:t>等</w:t>
      </w:r>
      <w:r>
        <w:rPr>
          <w:rFonts w:hint="eastAsia" w:ascii="仿宋_GB2312" w:eastAsia="仿宋_GB2312" w:cs="仿宋_GB2312"/>
          <w:sz w:val="32"/>
          <w:szCs w:val="32"/>
        </w:rPr>
        <w:t>所需费用。指标分值40分，得分</w:t>
      </w:r>
      <w:r>
        <w:rPr>
          <w:rFonts w:hint="eastAsia" w:ascii="仿宋_GB2312" w:eastAsia="仿宋_GB2312" w:cs="仿宋_GB2312"/>
          <w:sz w:val="32"/>
          <w:szCs w:val="32"/>
          <w:lang w:val="en-US" w:eastAsia="zh-CN"/>
        </w:rPr>
        <w:t>40</w:t>
      </w:r>
      <w:r>
        <w:rPr>
          <w:rFonts w:hint="eastAsia" w:ascii="仿宋_GB2312" w:eastAsia="仿宋_GB2312" w:cs="仿宋_GB2312"/>
          <w:sz w:val="32"/>
          <w:szCs w:val="32"/>
        </w:rPr>
        <w:t>分。</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）效益指标完成情况分析</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从社会效益角度分析，通过举办活动营造良好的社会氛围、增加媒体宣传热度，可以达到出精品的社会效益。指标分值20分，得分20分。</w:t>
      </w:r>
    </w:p>
    <w:p>
      <w:pPr>
        <w:numPr>
          <w:ilvl w:val="0"/>
          <w:numId w:val="2"/>
        </w:numPr>
        <w:ind w:firstLine="640" w:firstLineChars="200"/>
        <w:rPr>
          <w:rFonts w:ascii="仿宋_GB2312" w:eastAsia="仿宋_GB2312" w:cs="仿宋_GB2312"/>
          <w:sz w:val="32"/>
          <w:szCs w:val="32"/>
        </w:rPr>
      </w:pPr>
      <w:r>
        <w:rPr>
          <w:rFonts w:hint="eastAsia" w:ascii="仿宋_GB2312" w:eastAsia="仿宋_GB2312" w:cs="仿宋_GB2312"/>
          <w:sz w:val="32"/>
          <w:szCs w:val="32"/>
        </w:rPr>
        <w:t>满意度指标完成情况分析</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从服务对象满意度角度分析，协会、群众满意度可以达到95%以上。指标分值20分，得分20分。</w:t>
      </w:r>
    </w:p>
    <w:p>
      <w:pPr>
        <w:ind w:firstLine="640" w:firstLineChars="200"/>
        <w:rPr>
          <w:rFonts w:ascii="楷体_GB2312" w:hAnsi="楷体" w:eastAsia="楷体_GB2312" w:cs="楷体_GB2312"/>
          <w:sz w:val="32"/>
          <w:szCs w:val="32"/>
        </w:rPr>
      </w:pPr>
      <w:r>
        <w:rPr>
          <w:rFonts w:hint="eastAsia" w:ascii="楷体_GB2312" w:hAnsi="楷体" w:eastAsia="楷体_GB2312" w:cs="楷体_GB2312"/>
          <w:sz w:val="32"/>
          <w:szCs w:val="32"/>
        </w:rPr>
        <w:t>（四）上年度部门绩效自评结果应用情况</w:t>
      </w:r>
    </w:p>
    <w:p>
      <w:pPr>
        <w:ind w:firstLine="640" w:firstLineChars="200"/>
        <w:rPr>
          <w:rFonts w:ascii="楷体_GB2312" w:hAnsi="楷体" w:eastAsia="楷体_GB2312" w:cs="楷体_GB2312"/>
          <w:sz w:val="32"/>
          <w:szCs w:val="32"/>
        </w:rPr>
      </w:pPr>
      <w:r>
        <w:rPr>
          <w:rFonts w:hint="eastAsia" w:ascii="仿宋_GB2312" w:eastAsia="仿宋_GB2312" w:cs="仿宋_GB2312"/>
          <w:sz w:val="32"/>
          <w:szCs w:val="32"/>
        </w:rPr>
        <w:t>20</w:t>
      </w:r>
      <w:r>
        <w:rPr>
          <w:rFonts w:hint="eastAsia" w:ascii="仿宋_GB2312" w:eastAsia="仿宋_GB2312" w:cs="仿宋_GB2312"/>
          <w:sz w:val="32"/>
          <w:szCs w:val="32"/>
          <w:lang w:val="en-US" w:eastAsia="zh-CN"/>
        </w:rPr>
        <w:t>20</w:t>
      </w:r>
      <w:r>
        <w:rPr>
          <w:rFonts w:hint="eastAsia" w:ascii="仿宋_GB2312" w:eastAsia="仿宋_GB2312" w:cs="仿宋_GB2312"/>
          <w:sz w:val="32"/>
          <w:szCs w:val="32"/>
        </w:rPr>
        <w:t>年文化主题及社会活动专项绩效执行率100%，活动效果好，影响大，通过新文艺群体建设、协会组织管理、对外交流、开展研讨会、互联网文艺等项目，不断提升文艺服务质量，提升文艺影响力，推动襄阳文艺事业繁荣发展，完成了年度目标。</w:t>
      </w:r>
    </w:p>
    <w:p>
      <w:pPr>
        <w:ind w:firstLine="640" w:firstLineChars="200"/>
        <w:rPr>
          <w:rFonts w:ascii="楷体_GB2312" w:hAnsi="楷体" w:eastAsia="楷体_GB2312" w:cs="楷体_GB2312"/>
          <w:sz w:val="32"/>
          <w:szCs w:val="32"/>
        </w:rPr>
      </w:pPr>
      <w:r>
        <w:rPr>
          <w:rFonts w:hint="eastAsia" w:ascii="楷体_GB2312" w:hAnsi="楷体" w:eastAsia="楷体_GB2312" w:cs="楷体_GB2312"/>
          <w:sz w:val="32"/>
          <w:szCs w:val="32"/>
        </w:rPr>
        <w:t>（五）其他佐证材料</w:t>
      </w:r>
    </w:p>
    <w:p>
      <w:pPr>
        <w:rPr>
          <w:rFonts w:ascii="方正小标宋简体" w:hAnsi="Arial" w:eastAsia="方正小标宋简体" w:cs="Times New Roman"/>
          <w:sz w:val="36"/>
          <w:szCs w:val="36"/>
        </w:rPr>
      </w:pPr>
    </w:p>
    <w:p>
      <w:pPr>
        <w:jc w:val="center"/>
        <w:rPr>
          <w:rFonts w:ascii="楷体_GB2312" w:hAnsi="仿宋" w:eastAsia="楷体_GB2312" w:cs="Times New Roman"/>
          <w:sz w:val="32"/>
          <w:szCs w:val="32"/>
        </w:rPr>
      </w:pPr>
      <w:r>
        <w:rPr>
          <w:rFonts w:hint="eastAsia" w:ascii="方正小标宋简体" w:hAnsi="Arial" w:eastAsia="方正小标宋简体" w:cs="方正小标宋简体"/>
          <w:sz w:val="36"/>
          <w:szCs w:val="36"/>
          <w:lang w:eastAsia="zh-CN"/>
        </w:rPr>
        <w:t>2022</w:t>
      </w:r>
      <w:r>
        <w:rPr>
          <w:rFonts w:hint="eastAsia" w:ascii="方正小标宋简体" w:hAnsi="Arial" w:eastAsia="方正小标宋简体" w:cs="方正小标宋简体"/>
          <w:sz w:val="36"/>
          <w:szCs w:val="36"/>
        </w:rPr>
        <w:t>年度文化主题及社会活动专项绩效自评结果</w:t>
      </w:r>
    </w:p>
    <w:p>
      <w:pPr>
        <w:jc w:val="center"/>
        <w:rPr>
          <w:rFonts w:ascii="仿宋" w:hAnsi="仿宋" w:eastAsia="仿宋" w:cs="Times New Roman"/>
          <w:sz w:val="32"/>
          <w:szCs w:val="32"/>
        </w:rPr>
      </w:pPr>
    </w:p>
    <w:p>
      <w:pPr>
        <w:ind w:firstLine="640" w:firstLineChars="200"/>
        <w:rPr>
          <w:rFonts w:ascii="楷体_GB2312" w:hAnsi="楷体" w:eastAsia="楷体_GB2312" w:cs="楷体_GB2312"/>
          <w:sz w:val="32"/>
          <w:szCs w:val="32"/>
        </w:rPr>
      </w:pPr>
      <w:r>
        <w:rPr>
          <w:rFonts w:hint="eastAsia" w:ascii="楷体_GB2312" w:hAnsi="楷体" w:eastAsia="楷体_GB2312" w:cs="楷体_GB2312"/>
          <w:sz w:val="32"/>
          <w:szCs w:val="32"/>
        </w:rPr>
        <w:t>（一）自评得分</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市文联</w:t>
      </w:r>
      <w:r>
        <w:rPr>
          <w:rFonts w:hint="eastAsia" w:ascii="仿宋_GB2312" w:eastAsia="仿宋_GB2312" w:cs="仿宋_GB2312"/>
          <w:sz w:val="32"/>
          <w:szCs w:val="32"/>
          <w:lang w:eastAsia="zh-CN"/>
        </w:rPr>
        <w:t>2022</w:t>
      </w:r>
      <w:r>
        <w:rPr>
          <w:rFonts w:hint="eastAsia" w:ascii="仿宋_GB2312" w:eastAsia="仿宋_GB2312" w:cs="仿宋_GB2312"/>
          <w:sz w:val="32"/>
          <w:szCs w:val="32"/>
        </w:rPr>
        <w:t>年度文化主题及社会活动专项自评得分</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分。</w:t>
      </w:r>
    </w:p>
    <w:p>
      <w:pPr>
        <w:ind w:firstLine="640" w:firstLineChars="200"/>
        <w:rPr>
          <w:rFonts w:ascii="楷体_GB2312" w:hAnsi="楷体" w:eastAsia="楷体_GB2312" w:cs="Times New Roman"/>
          <w:sz w:val="32"/>
          <w:szCs w:val="32"/>
        </w:rPr>
      </w:pPr>
      <w:r>
        <w:rPr>
          <w:rFonts w:hint="eastAsia" w:ascii="楷体_GB2312" w:hAnsi="楷体" w:eastAsia="楷体_GB2312" w:cs="楷体_GB2312"/>
          <w:sz w:val="32"/>
          <w:szCs w:val="32"/>
        </w:rPr>
        <w:t>（二）绩效目标完成情况</w:t>
      </w:r>
    </w:p>
    <w:p>
      <w:pPr>
        <w:ind w:firstLine="640" w:firstLineChars="200"/>
        <w:rPr>
          <w:rFonts w:ascii="仿宋_GB2312" w:eastAsia="仿宋_GB2312" w:cs="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执行率情况。</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市文联</w:t>
      </w:r>
      <w:r>
        <w:rPr>
          <w:rFonts w:hint="eastAsia" w:ascii="仿宋_GB2312" w:eastAsia="仿宋_GB2312" w:cs="仿宋_GB2312"/>
          <w:sz w:val="32"/>
          <w:szCs w:val="32"/>
          <w:lang w:eastAsia="zh-CN"/>
        </w:rPr>
        <w:t>2022</w:t>
      </w:r>
      <w:r>
        <w:rPr>
          <w:rFonts w:hint="eastAsia" w:ascii="仿宋_GB2312" w:eastAsia="仿宋_GB2312" w:cs="仿宋_GB2312"/>
          <w:sz w:val="32"/>
          <w:szCs w:val="32"/>
        </w:rPr>
        <w:t>年度文化主题及社会活动专项执行率为</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ind w:firstLine="640" w:firstLineChars="200"/>
        <w:rPr>
          <w:rFonts w:ascii="仿宋_GB2312" w:eastAsia="仿宋_GB2312" w:cs="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完成的绩效目标。</w:t>
      </w:r>
    </w:p>
    <w:p>
      <w:pPr>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rPr>
        <w:t>文化主题及社会活动专项，是市文联</w:t>
      </w:r>
      <w:r>
        <w:rPr>
          <w:rFonts w:hint="eastAsia" w:ascii="仿宋_GB2312" w:eastAsia="仿宋_GB2312" w:cs="仿宋_GB2312"/>
          <w:sz w:val="32"/>
          <w:szCs w:val="32"/>
          <w:lang w:eastAsia="zh-CN"/>
        </w:rPr>
        <w:t>围绕</w:t>
      </w:r>
      <w:r>
        <w:rPr>
          <w:rFonts w:hint="eastAsia" w:ascii="仿宋_GB2312" w:eastAsia="仿宋_GB2312" w:cs="仿宋_GB2312"/>
          <w:sz w:val="32"/>
          <w:szCs w:val="32"/>
        </w:rPr>
        <w:t>“出精品、出人才”</w:t>
      </w:r>
      <w:r>
        <w:rPr>
          <w:rFonts w:hint="eastAsia" w:ascii="仿宋_GB2312" w:eastAsia="仿宋_GB2312" w:cs="仿宋_GB2312"/>
          <w:sz w:val="32"/>
          <w:szCs w:val="32"/>
          <w:lang w:eastAsia="zh-CN"/>
        </w:rPr>
        <w:t>目标</w:t>
      </w:r>
      <w:r>
        <w:rPr>
          <w:rFonts w:hint="eastAsia" w:ascii="仿宋_GB2312" w:eastAsia="仿宋_GB2312" w:cs="仿宋_GB2312"/>
          <w:sz w:val="32"/>
          <w:szCs w:val="32"/>
        </w:rPr>
        <w:t>，</w:t>
      </w:r>
      <w:r>
        <w:rPr>
          <w:rFonts w:hint="eastAsia" w:ascii="仿宋_GB2312" w:eastAsia="仿宋_GB2312" w:cs="仿宋_GB2312"/>
          <w:sz w:val="32"/>
          <w:szCs w:val="32"/>
          <w:lang w:eastAsia="zh-CN"/>
        </w:rPr>
        <w:t>勇于担当，主动作为，</w:t>
      </w:r>
      <w:r>
        <w:rPr>
          <w:rFonts w:hint="eastAsia" w:ascii="仿宋_GB2312" w:eastAsia="仿宋_GB2312" w:cs="仿宋_GB2312"/>
          <w:sz w:val="32"/>
          <w:szCs w:val="32"/>
        </w:rPr>
        <w:t>全力推进</w:t>
      </w:r>
      <w:r>
        <w:rPr>
          <w:rFonts w:hint="eastAsia" w:ascii="仿宋_GB2312" w:eastAsia="仿宋_GB2312" w:cs="仿宋_GB2312"/>
          <w:sz w:val="32"/>
          <w:szCs w:val="32"/>
          <w:lang w:eastAsia="zh-CN"/>
        </w:rPr>
        <w:t>襄阳</w:t>
      </w:r>
      <w:r>
        <w:rPr>
          <w:rFonts w:hint="eastAsia" w:ascii="仿宋_GB2312" w:eastAsia="仿宋_GB2312" w:cs="仿宋_GB2312"/>
          <w:sz w:val="32"/>
          <w:szCs w:val="32"/>
        </w:rPr>
        <w:t>文艺事业繁荣发展</w:t>
      </w:r>
      <w:r>
        <w:rPr>
          <w:rFonts w:hint="eastAsia" w:ascii="仿宋_GB2312" w:eastAsia="仿宋_GB2312" w:cs="仿宋_GB2312"/>
          <w:sz w:val="32"/>
          <w:szCs w:val="32"/>
          <w:lang w:eastAsia="zh-CN"/>
        </w:rPr>
        <w:t>的重要举措。市文联</w:t>
      </w:r>
      <w:r>
        <w:rPr>
          <w:rFonts w:hint="eastAsia" w:ascii="仿宋_GB2312" w:eastAsia="仿宋_GB2312" w:cs="仿宋_GB2312"/>
          <w:sz w:val="32"/>
          <w:szCs w:val="32"/>
        </w:rPr>
        <w:t>坚持与时代同步伐</w:t>
      </w:r>
      <w:r>
        <w:rPr>
          <w:rFonts w:hint="eastAsia" w:ascii="仿宋_GB2312" w:eastAsia="仿宋_GB2312" w:cs="仿宋_GB2312"/>
          <w:sz w:val="32"/>
          <w:szCs w:val="32"/>
          <w:lang w:eastAsia="zh-CN"/>
        </w:rPr>
        <w:t>，坚持</w:t>
      </w:r>
      <w:r>
        <w:rPr>
          <w:rFonts w:hint="eastAsia" w:ascii="仿宋_GB2312" w:eastAsia="仿宋_GB2312" w:cs="仿宋_GB2312"/>
          <w:sz w:val="32"/>
          <w:szCs w:val="32"/>
        </w:rPr>
        <w:t>以人民</w:t>
      </w:r>
      <w:r>
        <w:rPr>
          <w:rFonts w:hint="eastAsia" w:ascii="仿宋_GB2312" w:eastAsia="仿宋_GB2312" w:cs="仿宋_GB2312"/>
          <w:sz w:val="32"/>
          <w:szCs w:val="32"/>
          <w:lang w:eastAsia="zh-CN"/>
        </w:rPr>
        <w:t>为中心，坚持以精品奉献人民，坚持用明德引领风尚，通过加强新文艺群体建设、协会组织管理，开展对外交流、文艺研讨、座谈及重点项目扶持等活动，不断提升文艺服务质量，促进文艺人才的成长，催生文学艺术精品，提升文艺影响力，推动襄阳文艺事业繁荣发展。</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3.未完成的绩效目标。</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无</w:t>
      </w:r>
    </w:p>
    <w:p>
      <w:pPr>
        <w:ind w:firstLine="320" w:firstLineChars="100"/>
        <w:rPr>
          <w:rFonts w:ascii="楷体_GB2312" w:hAnsi="楷体" w:eastAsia="楷体_GB2312" w:cs="Times New Roman"/>
          <w:sz w:val="32"/>
          <w:szCs w:val="32"/>
        </w:rPr>
      </w:pPr>
      <w:r>
        <w:rPr>
          <w:rFonts w:hint="eastAsia" w:ascii="楷体_GB2312" w:hAnsi="楷体" w:eastAsia="楷体_GB2312" w:cs="楷体_GB2312"/>
          <w:sz w:val="32"/>
          <w:szCs w:val="32"/>
        </w:rPr>
        <w:t>（三）存在的问题和原因</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工作顺利开展，按照年初计划完成了工作目标。</w:t>
      </w:r>
    </w:p>
    <w:p>
      <w:pPr>
        <w:ind w:firstLine="320" w:firstLineChars="100"/>
        <w:rPr>
          <w:rFonts w:ascii="楷体_GB2312" w:hAnsi="楷体" w:eastAsia="楷体_GB2312" w:cs="Times New Roman"/>
          <w:sz w:val="32"/>
          <w:szCs w:val="32"/>
        </w:rPr>
      </w:pPr>
      <w:r>
        <w:rPr>
          <w:rFonts w:hint="eastAsia" w:ascii="楷体_GB2312" w:hAnsi="楷体" w:eastAsia="楷体_GB2312" w:cs="楷体_GB2312"/>
          <w:sz w:val="32"/>
          <w:szCs w:val="32"/>
        </w:rPr>
        <w:t>（四）下一步拟改进措施</w:t>
      </w:r>
    </w:p>
    <w:p>
      <w:pPr>
        <w:ind w:firstLine="640" w:firstLineChars="200"/>
        <w:rPr>
          <w:rFonts w:ascii="仿宋_GB2312" w:eastAsia="仿宋_GB2312" w:cs="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下一步拟改进措施</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加强协会财务等工作的管理，加强新文艺群体建设，不定期开展研讨会等活动，加大文艺宣传力度。</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提升文艺服务，加强文艺活动宣传，提升文艺影响力，让更多人民群众受益。</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认真策划各项文艺活动，严格遵守相关程序。市文联会同相关协会，围绕市委中心工作，策划具体项目，制定方案，按照方案具体实施</w:t>
      </w:r>
      <w:r>
        <w:rPr>
          <w:rFonts w:hint="eastAsia" w:ascii="仿宋_GB2312" w:eastAsia="仿宋_GB2312" w:cs="仿宋_GB2312"/>
          <w:sz w:val="32"/>
          <w:szCs w:val="32"/>
          <w:lang w:eastAsia="zh-CN"/>
        </w:rPr>
        <w:t>，并取得良好效果</w:t>
      </w:r>
      <w:r>
        <w:rPr>
          <w:rFonts w:hint="eastAsia" w:ascii="仿宋_GB2312" w:eastAsia="仿宋_GB2312" w:cs="仿宋_GB2312"/>
          <w:sz w:val="32"/>
          <w:szCs w:val="32"/>
        </w:rPr>
        <w:t>。</w:t>
      </w:r>
    </w:p>
    <w:p>
      <w:pPr>
        <w:ind w:firstLine="640" w:firstLineChars="200"/>
        <w:rPr>
          <w:rFonts w:ascii="仿宋_GB2312" w:eastAsia="仿宋_GB2312" w:cs="仿宋_GB2312"/>
          <w:sz w:val="32"/>
          <w:szCs w:val="32"/>
        </w:rPr>
      </w:pPr>
      <w:r>
        <w:rPr>
          <w:rFonts w:hint="eastAsia" w:ascii="仿宋_GB2312" w:eastAsia="仿宋_GB2312" w:cs="仿宋_GB2312"/>
          <w:sz w:val="32"/>
          <w:szCs w:val="32"/>
        </w:rPr>
        <w:t>2.拟与预算安排相结合情况</w:t>
      </w:r>
    </w:p>
    <w:p>
      <w:pPr>
        <w:rPr>
          <w:rFonts w:ascii="仿宋_GB2312" w:eastAsia="仿宋_GB2312" w:cs="仿宋_GB2312"/>
          <w:sz w:val="32"/>
          <w:szCs w:val="32"/>
        </w:rPr>
      </w:pPr>
      <w:r>
        <w:rPr>
          <w:rFonts w:hint="eastAsia" w:ascii="仿宋_GB2312" w:eastAsia="仿宋_GB2312" w:cs="仿宋_GB2312"/>
          <w:sz w:val="32"/>
          <w:szCs w:val="32"/>
        </w:rPr>
        <w:t xml:space="preserve">    根据市财政局对项目资金预算批复的文件精神，项目资金到位及时，到位率100%。</w:t>
      </w:r>
      <w:r>
        <w:rPr>
          <w:rFonts w:hint="eastAsia" w:ascii="仿宋_GB2312" w:eastAsia="仿宋_GB2312" w:cs="仿宋_GB2312"/>
          <w:sz w:val="32"/>
          <w:szCs w:val="32"/>
          <w:lang w:eastAsia="zh-CN"/>
        </w:rPr>
        <w:t>2022</w:t>
      </w:r>
      <w:r>
        <w:rPr>
          <w:rFonts w:hint="eastAsia" w:ascii="仿宋_GB2312" w:eastAsia="仿宋_GB2312" w:cs="仿宋_GB2312"/>
          <w:sz w:val="32"/>
          <w:szCs w:val="32"/>
        </w:rPr>
        <w:t>年项目绩效和整体绩效已作为</w:t>
      </w:r>
      <w:r>
        <w:rPr>
          <w:rFonts w:hint="eastAsia" w:ascii="仿宋_GB2312" w:eastAsia="仿宋_GB2312" w:cs="仿宋_GB2312"/>
          <w:sz w:val="32"/>
          <w:szCs w:val="32"/>
          <w:lang w:eastAsia="zh-CN"/>
        </w:rPr>
        <w:t>2022</w:t>
      </w:r>
      <w:r>
        <w:rPr>
          <w:rFonts w:hint="eastAsia" w:ascii="仿宋_GB2312" w:eastAsia="仿宋_GB2312" w:cs="仿宋_GB2312"/>
          <w:sz w:val="32"/>
          <w:szCs w:val="32"/>
        </w:rPr>
        <w:t>预算附件在市级网站公开，绩效评价情况也将按时上报和公开。</w:t>
      </w:r>
    </w:p>
    <w:p>
      <w:pPr>
        <w:ind w:firstLine="640" w:firstLineChars="200"/>
        <w:rPr>
          <w:rFonts w:ascii="楷体_GB2312" w:hAnsi="楷体" w:eastAsia="楷体_GB2312" w:cs="Times New Roman"/>
          <w:sz w:val="32"/>
          <w:szCs w:val="32"/>
        </w:rPr>
      </w:pPr>
      <w:r>
        <w:rPr>
          <w:rFonts w:hint="eastAsia" w:ascii="楷体_GB2312" w:hAnsi="楷体" w:eastAsia="楷体_GB2312" w:cs="楷体_GB2312"/>
          <w:sz w:val="32"/>
          <w:szCs w:val="32"/>
        </w:rPr>
        <w:t>附件：</w:t>
      </w:r>
      <w:r>
        <w:rPr>
          <w:rFonts w:hint="eastAsia" w:ascii="楷体_GB2312" w:hAnsi="楷体" w:eastAsia="楷体_GB2312" w:cs="楷体_GB2312"/>
          <w:sz w:val="32"/>
          <w:szCs w:val="32"/>
          <w:lang w:eastAsia="zh-CN"/>
        </w:rPr>
        <w:t>2022</w:t>
      </w:r>
      <w:r>
        <w:rPr>
          <w:rFonts w:hint="eastAsia" w:ascii="楷体_GB2312" w:hAnsi="楷体" w:eastAsia="楷体_GB2312" w:cs="楷体_GB2312"/>
          <w:sz w:val="32"/>
          <w:szCs w:val="32"/>
        </w:rPr>
        <w:t>年度文化主题及社会活动专项绩效自评表（附后）</w:t>
      </w:r>
    </w:p>
    <w:p>
      <w:pPr>
        <w:widowControl/>
        <w:ind w:firstLine="420" w:firstLineChars="20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75529C"/>
    <w:multiLevelType w:val="singleLevel"/>
    <w:tmpl w:val="6075529C"/>
    <w:lvl w:ilvl="0" w:tentative="0">
      <w:start w:val="2"/>
      <w:numFmt w:val="decimal"/>
      <w:suff w:val="nothing"/>
      <w:lvlText w:val="%1."/>
      <w:lvlJc w:val="left"/>
    </w:lvl>
  </w:abstractNum>
  <w:abstractNum w:abstractNumId="1">
    <w:nsid w:val="6075547F"/>
    <w:multiLevelType w:val="singleLevel"/>
    <w:tmpl w:val="6075547F"/>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6A7"/>
    <w:rsid w:val="00002503"/>
    <w:rsid w:val="00013B97"/>
    <w:rsid w:val="000315FD"/>
    <w:rsid w:val="000639B8"/>
    <w:rsid w:val="000675A3"/>
    <w:rsid w:val="00082E7B"/>
    <w:rsid w:val="00092618"/>
    <w:rsid w:val="000B599B"/>
    <w:rsid w:val="00122842"/>
    <w:rsid w:val="00135CAF"/>
    <w:rsid w:val="00192DA9"/>
    <w:rsid w:val="00207343"/>
    <w:rsid w:val="00213892"/>
    <w:rsid w:val="002645B9"/>
    <w:rsid w:val="002744D0"/>
    <w:rsid w:val="0029730F"/>
    <w:rsid w:val="002B315D"/>
    <w:rsid w:val="002D3079"/>
    <w:rsid w:val="002E6E21"/>
    <w:rsid w:val="00336E4C"/>
    <w:rsid w:val="004277E2"/>
    <w:rsid w:val="00454808"/>
    <w:rsid w:val="00482AF3"/>
    <w:rsid w:val="004B0542"/>
    <w:rsid w:val="004C70E3"/>
    <w:rsid w:val="004D5902"/>
    <w:rsid w:val="004F4681"/>
    <w:rsid w:val="004F6B94"/>
    <w:rsid w:val="0054044B"/>
    <w:rsid w:val="00543EF6"/>
    <w:rsid w:val="00552C91"/>
    <w:rsid w:val="00566763"/>
    <w:rsid w:val="005A1B6B"/>
    <w:rsid w:val="005A4D58"/>
    <w:rsid w:val="005D286B"/>
    <w:rsid w:val="005E12FD"/>
    <w:rsid w:val="006341ED"/>
    <w:rsid w:val="00650820"/>
    <w:rsid w:val="00660416"/>
    <w:rsid w:val="00667498"/>
    <w:rsid w:val="006936A7"/>
    <w:rsid w:val="006965E3"/>
    <w:rsid w:val="006A01AE"/>
    <w:rsid w:val="006A190B"/>
    <w:rsid w:val="006C7750"/>
    <w:rsid w:val="006E56B5"/>
    <w:rsid w:val="006E7331"/>
    <w:rsid w:val="006F382A"/>
    <w:rsid w:val="00717A3F"/>
    <w:rsid w:val="007972B5"/>
    <w:rsid w:val="007D479B"/>
    <w:rsid w:val="007E4F58"/>
    <w:rsid w:val="00844644"/>
    <w:rsid w:val="008B5B64"/>
    <w:rsid w:val="008F435E"/>
    <w:rsid w:val="00903DE7"/>
    <w:rsid w:val="0090681D"/>
    <w:rsid w:val="009436AB"/>
    <w:rsid w:val="0097472F"/>
    <w:rsid w:val="00974E46"/>
    <w:rsid w:val="00A016A4"/>
    <w:rsid w:val="00A446FD"/>
    <w:rsid w:val="00A86BB1"/>
    <w:rsid w:val="00AF2DBF"/>
    <w:rsid w:val="00B06A06"/>
    <w:rsid w:val="00B93D14"/>
    <w:rsid w:val="00BD3CBE"/>
    <w:rsid w:val="00BF0274"/>
    <w:rsid w:val="00BF655F"/>
    <w:rsid w:val="00C00EFD"/>
    <w:rsid w:val="00CA20FD"/>
    <w:rsid w:val="00CC3066"/>
    <w:rsid w:val="00CD0C8B"/>
    <w:rsid w:val="00CF49E5"/>
    <w:rsid w:val="00D049EC"/>
    <w:rsid w:val="00D54B62"/>
    <w:rsid w:val="00D67401"/>
    <w:rsid w:val="00D77CC0"/>
    <w:rsid w:val="00D844D8"/>
    <w:rsid w:val="00D97E5F"/>
    <w:rsid w:val="00DE353F"/>
    <w:rsid w:val="00E56204"/>
    <w:rsid w:val="00E7180D"/>
    <w:rsid w:val="00E91B84"/>
    <w:rsid w:val="00EA3101"/>
    <w:rsid w:val="00EB572F"/>
    <w:rsid w:val="00ED0793"/>
    <w:rsid w:val="00ED584C"/>
    <w:rsid w:val="00F0066A"/>
    <w:rsid w:val="00F15A98"/>
    <w:rsid w:val="00F570A0"/>
    <w:rsid w:val="00F84547"/>
    <w:rsid w:val="00FB21E4"/>
    <w:rsid w:val="0C4E5E32"/>
    <w:rsid w:val="0E983FF2"/>
    <w:rsid w:val="1183057E"/>
    <w:rsid w:val="13EE7B4E"/>
    <w:rsid w:val="27144DDD"/>
    <w:rsid w:val="294D3BB6"/>
    <w:rsid w:val="29A80723"/>
    <w:rsid w:val="2C076F19"/>
    <w:rsid w:val="348F059D"/>
    <w:rsid w:val="350F7EFE"/>
    <w:rsid w:val="39273355"/>
    <w:rsid w:val="3AC702FC"/>
    <w:rsid w:val="497A5F98"/>
    <w:rsid w:val="49D246CF"/>
    <w:rsid w:val="4F0E5489"/>
    <w:rsid w:val="55AF2676"/>
    <w:rsid w:val="57B81486"/>
    <w:rsid w:val="58FD37D0"/>
    <w:rsid w:val="5B1E01CB"/>
    <w:rsid w:val="5BE62C0B"/>
    <w:rsid w:val="5F6F16D0"/>
    <w:rsid w:val="6846068C"/>
    <w:rsid w:val="6AEA720A"/>
    <w:rsid w:val="6BC849C4"/>
    <w:rsid w:val="6F5E4911"/>
    <w:rsid w:val="6FCF2FC1"/>
    <w:rsid w:val="723A6C34"/>
    <w:rsid w:val="7334084B"/>
    <w:rsid w:val="73D11F98"/>
    <w:rsid w:val="7B317800"/>
    <w:rsid w:val="7F0F46C2"/>
    <w:rsid w:val="EB6DFB8C"/>
    <w:rsid w:val="EDECBDB1"/>
    <w:rsid w:val="FBBFF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等线"/>
      <w:kern w:val="2"/>
      <w:sz w:val="21"/>
      <w:szCs w:val="21"/>
      <w:lang w:val="en-US" w:eastAsia="zh-CN" w:bidi="ar-SA"/>
    </w:rPr>
  </w:style>
  <w:style w:type="paragraph" w:styleId="3">
    <w:name w:val="heading 1"/>
    <w:basedOn w:val="1"/>
    <w:next w:val="1"/>
    <w:link w:val="23"/>
    <w:qFormat/>
    <w:uiPriority w:val="9"/>
    <w:pPr>
      <w:keepNext/>
      <w:keepLines/>
      <w:spacing w:before="240" w:after="120"/>
      <w:jc w:val="center"/>
      <w:outlineLvl w:val="0"/>
    </w:pPr>
    <w:rPr>
      <w:rFonts w:eastAsia="方正小标宋简体"/>
      <w:b/>
      <w:bCs/>
      <w:kern w:val="44"/>
      <w:sz w:val="44"/>
      <w:szCs w:val="44"/>
    </w:rPr>
  </w:style>
  <w:style w:type="paragraph" w:styleId="4">
    <w:name w:val="heading 2"/>
    <w:basedOn w:val="1"/>
    <w:next w:val="1"/>
    <w:link w:val="24"/>
    <w:qFormat/>
    <w:uiPriority w:val="99"/>
    <w:pPr>
      <w:keepNext/>
      <w:keepLines/>
      <w:jc w:val="left"/>
      <w:outlineLvl w:val="1"/>
    </w:pPr>
    <w:rPr>
      <w:rFonts w:eastAsia="黑体"/>
      <w:b/>
      <w:bCs/>
      <w:kern w:val="0"/>
      <w:sz w:val="30"/>
      <w:szCs w:val="32"/>
    </w:rPr>
  </w:style>
  <w:style w:type="paragraph" w:styleId="5">
    <w:name w:val="heading 3"/>
    <w:basedOn w:val="1"/>
    <w:next w:val="1"/>
    <w:link w:val="25"/>
    <w:qFormat/>
    <w:uiPriority w:val="9"/>
    <w:pPr>
      <w:keepNext/>
      <w:keepLines/>
      <w:jc w:val="left"/>
      <w:outlineLvl w:val="2"/>
    </w:pPr>
    <w:rPr>
      <w:b/>
      <w:bCs/>
      <w:kern w:val="0"/>
      <w:szCs w:val="32"/>
    </w:rPr>
  </w:style>
  <w:style w:type="paragraph" w:styleId="2">
    <w:name w:val="heading 4"/>
    <w:basedOn w:val="1"/>
    <w:next w:val="1"/>
    <w:link w:val="26"/>
    <w:qFormat/>
    <w:uiPriority w:val="9"/>
    <w:pPr>
      <w:keepNext/>
      <w:keepLines/>
      <w:outlineLvl w:val="3"/>
    </w:pPr>
    <w:rPr>
      <w:b/>
      <w:bCs/>
      <w:szCs w:val="28"/>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text"/>
    <w:basedOn w:val="1"/>
    <w:link w:val="27"/>
    <w:unhideWhenUsed/>
    <w:qFormat/>
    <w:uiPriority w:val="99"/>
    <w:pPr>
      <w:jc w:val="left"/>
    </w:pPr>
  </w:style>
  <w:style w:type="paragraph" w:styleId="7">
    <w:name w:val="toc 3"/>
    <w:basedOn w:val="1"/>
    <w:next w:val="1"/>
    <w:unhideWhenUsed/>
    <w:qFormat/>
    <w:uiPriority w:val="39"/>
    <w:pPr>
      <w:ind w:left="840" w:leftChars="400"/>
    </w:pPr>
  </w:style>
  <w:style w:type="paragraph" w:styleId="8">
    <w:name w:val="Date"/>
    <w:basedOn w:val="1"/>
    <w:next w:val="1"/>
    <w:link w:val="35"/>
    <w:semiHidden/>
    <w:qFormat/>
    <w:uiPriority w:val="99"/>
    <w:pPr>
      <w:ind w:left="100" w:leftChars="2500"/>
    </w:pPr>
  </w:style>
  <w:style w:type="paragraph" w:styleId="9">
    <w:name w:val="Balloon Text"/>
    <w:basedOn w:val="1"/>
    <w:link w:val="36"/>
    <w:semiHidden/>
    <w:qFormat/>
    <w:uiPriority w:val="99"/>
    <w:rPr>
      <w:sz w:val="18"/>
      <w:szCs w:val="18"/>
    </w:rPr>
  </w:style>
  <w:style w:type="paragraph" w:styleId="10">
    <w:name w:val="footer"/>
    <w:basedOn w:val="1"/>
    <w:link w:val="37"/>
    <w:qFormat/>
    <w:uiPriority w:val="99"/>
    <w:pPr>
      <w:tabs>
        <w:tab w:val="center" w:pos="4153"/>
        <w:tab w:val="right" w:pos="8306"/>
      </w:tabs>
      <w:snapToGrid w:val="0"/>
      <w:jc w:val="left"/>
    </w:pPr>
    <w:rPr>
      <w:sz w:val="18"/>
      <w:szCs w:val="18"/>
    </w:rPr>
  </w:style>
  <w:style w:type="paragraph" w:styleId="11">
    <w:name w:val="header"/>
    <w:basedOn w:val="1"/>
    <w:link w:val="38"/>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right" w:leader="dot" w:pos="9060"/>
      </w:tabs>
      <w:spacing w:line="440" w:lineRule="exact"/>
    </w:pPr>
    <w:rPr>
      <w:rFonts w:eastAsia="黑体"/>
      <w:b/>
      <w:sz w:val="24"/>
    </w:rPr>
  </w:style>
  <w:style w:type="paragraph" w:styleId="13">
    <w:name w:val="toc 2"/>
    <w:basedOn w:val="1"/>
    <w:next w:val="1"/>
    <w:unhideWhenUsed/>
    <w:qFormat/>
    <w:uiPriority w:val="39"/>
    <w:pPr>
      <w:ind w:left="420" w:leftChars="200"/>
    </w:pPr>
  </w:style>
  <w:style w:type="paragraph" w:styleId="14">
    <w:name w:val="Normal (Web)"/>
    <w:basedOn w:val="1"/>
    <w:qFormat/>
    <w:uiPriority w:val="99"/>
    <w:pPr>
      <w:spacing w:before="100" w:beforeAutospacing="1" w:after="100" w:afterAutospacing="1"/>
      <w:jc w:val="left"/>
    </w:pPr>
    <w:rPr>
      <w:rFonts w:ascii="Calibri" w:hAnsi="Calibri" w:eastAsia="宋体" w:cs="Calibri"/>
      <w:kern w:val="0"/>
      <w:sz w:val="24"/>
      <w:szCs w:val="24"/>
    </w:rPr>
  </w:style>
  <w:style w:type="paragraph" w:styleId="15">
    <w:name w:val="annotation subject"/>
    <w:basedOn w:val="6"/>
    <w:next w:val="6"/>
    <w:link w:val="34"/>
    <w:semiHidden/>
    <w:qFormat/>
    <w:uiPriority w:val="99"/>
    <w:rPr>
      <w:b/>
      <w:bCs/>
    </w:rPr>
  </w:style>
  <w:style w:type="character" w:styleId="18">
    <w:name w:val="Strong"/>
    <w:qFormat/>
    <w:uiPriority w:val="22"/>
    <w:rPr>
      <w:b/>
      <w:bCs/>
    </w:rPr>
  </w:style>
  <w:style w:type="character" w:styleId="19">
    <w:name w:val="page number"/>
    <w:basedOn w:val="17"/>
    <w:qFormat/>
    <w:uiPriority w:val="99"/>
  </w:style>
  <w:style w:type="character" w:styleId="20">
    <w:name w:val="FollowedHyperlink"/>
    <w:semiHidden/>
    <w:qFormat/>
    <w:uiPriority w:val="99"/>
    <w:rPr>
      <w:color w:val="800080"/>
      <w:u w:val="single"/>
    </w:rPr>
  </w:style>
  <w:style w:type="character" w:styleId="21">
    <w:name w:val="Hyperlink"/>
    <w:qFormat/>
    <w:uiPriority w:val="99"/>
    <w:rPr>
      <w:color w:val="0000FF"/>
      <w:u w:val="single"/>
    </w:rPr>
  </w:style>
  <w:style w:type="character" w:styleId="22">
    <w:name w:val="annotation reference"/>
    <w:unhideWhenUsed/>
    <w:qFormat/>
    <w:uiPriority w:val="99"/>
    <w:rPr>
      <w:sz w:val="21"/>
      <w:szCs w:val="21"/>
    </w:rPr>
  </w:style>
  <w:style w:type="character" w:customStyle="1" w:styleId="23">
    <w:name w:val="标题 1 字符"/>
    <w:link w:val="3"/>
    <w:qFormat/>
    <w:uiPriority w:val="9"/>
    <w:rPr>
      <w:rFonts w:ascii="Times New Roman" w:hAnsi="Times New Roman" w:eastAsia="方正小标宋简体"/>
      <w:b/>
      <w:bCs/>
      <w:kern w:val="44"/>
      <w:sz w:val="44"/>
      <w:szCs w:val="44"/>
    </w:rPr>
  </w:style>
  <w:style w:type="character" w:customStyle="1" w:styleId="24">
    <w:name w:val="标题 2 字符"/>
    <w:link w:val="4"/>
    <w:qFormat/>
    <w:uiPriority w:val="9"/>
    <w:rPr>
      <w:rFonts w:ascii="Times New Roman" w:hAnsi="Times New Roman" w:eastAsia="黑体"/>
      <w:b/>
      <w:bCs/>
      <w:sz w:val="30"/>
      <w:szCs w:val="32"/>
    </w:rPr>
  </w:style>
  <w:style w:type="character" w:customStyle="1" w:styleId="25">
    <w:name w:val="标题 3 字符"/>
    <w:link w:val="5"/>
    <w:qFormat/>
    <w:uiPriority w:val="9"/>
    <w:rPr>
      <w:rFonts w:ascii="Times New Roman" w:hAnsi="Times New Roman" w:eastAsia="仿宋_GB2312"/>
      <w:b/>
      <w:bCs/>
      <w:sz w:val="28"/>
      <w:szCs w:val="32"/>
    </w:rPr>
  </w:style>
  <w:style w:type="character" w:customStyle="1" w:styleId="26">
    <w:name w:val="标题 4 字符"/>
    <w:link w:val="2"/>
    <w:qFormat/>
    <w:uiPriority w:val="9"/>
    <w:rPr>
      <w:rFonts w:ascii="Times New Roman" w:hAnsi="Times New Roman" w:eastAsia="仿宋_GB2312"/>
      <w:b/>
      <w:bCs/>
      <w:kern w:val="2"/>
      <w:sz w:val="28"/>
      <w:szCs w:val="28"/>
    </w:rPr>
  </w:style>
  <w:style w:type="character" w:customStyle="1" w:styleId="27">
    <w:name w:val="批注文字 字符"/>
    <w:link w:val="6"/>
    <w:qFormat/>
    <w:uiPriority w:val="99"/>
    <w:rPr>
      <w:rFonts w:ascii="Times New Roman" w:hAnsi="Times New Roman" w:eastAsia="仿宋_GB2312"/>
      <w:kern w:val="2"/>
      <w:sz w:val="28"/>
      <w:szCs w:val="24"/>
    </w:rPr>
  </w:style>
  <w:style w:type="paragraph" w:customStyle="1" w:styleId="28">
    <w:name w:val="无间隔1"/>
    <w:qFormat/>
    <w:uiPriority w:val="1"/>
    <w:pPr>
      <w:widowControl w:val="0"/>
      <w:topLinePunct/>
      <w:ind w:firstLine="200" w:firstLineChars="200"/>
      <w:jc w:val="both"/>
    </w:pPr>
    <w:rPr>
      <w:rFonts w:ascii="Times New Roman" w:hAnsi="Times New Roman" w:eastAsia="仿宋_GB2312" w:cs="Times New Roman"/>
      <w:kern w:val="2"/>
      <w:sz w:val="28"/>
      <w:szCs w:val="24"/>
      <w:lang w:val="en-US" w:eastAsia="zh-CN" w:bidi="ar-SA"/>
    </w:rPr>
  </w:style>
  <w:style w:type="paragraph" w:customStyle="1" w:styleId="29">
    <w:name w:val="列表段落1"/>
    <w:basedOn w:val="1"/>
    <w:qFormat/>
    <w:uiPriority w:val="99"/>
    <w:pPr>
      <w:ind w:firstLine="420"/>
    </w:pPr>
  </w:style>
  <w:style w:type="paragraph" w:customStyle="1" w:styleId="30">
    <w:name w:val="TOC 标题1"/>
    <w:basedOn w:val="3"/>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31">
    <w:name w:val="目录 31"/>
    <w:basedOn w:val="1"/>
    <w:next w:val="1"/>
    <w:unhideWhenUsed/>
    <w:qFormat/>
    <w:uiPriority w:val="39"/>
    <w:pPr>
      <w:ind w:left="560"/>
      <w:jc w:val="left"/>
    </w:pPr>
    <w:rPr>
      <w:rFonts w:ascii="Calibri" w:hAnsi="Calibri" w:cs="Calibri"/>
      <w:i/>
      <w:iCs/>
      <w:sz w:val="20"/>
      <w:szCs w:val="20"/>
    </w:rPr>
  </w:style>
  <w:style w:type="paragraph" w:customStyle="1" w:styleId="32">
    <w:name w:val="目录 11"/>
    <w:basedOn w:val="1"/>
    <w:next w:val="1"/>
    <w:unhideWhenUsed/>
    <w:qFormat/>
    <w:uiPriority w:val="39"/>
    <w:pPr>
      <w:spacing w:before="120" w:after="120"/>
      <w:jc w:val="left"/>
    </w:pPr>
    <w:rPr>
      <w:rFonts w:ascii="Calibri" w:hAnsi="Calibri" w:cs="Calibri"/>
      <w:b/>
      <w:bCs/>
      <w:caps/>
      <w:sz w:val="20"/>
      <w:szCs w:val="20"/>
    </w:rPr>
  </w:style>
  <w:style w:type="paragraph" w:customStyle="1" w:styleId="33">
    <w:name w:val="目录 21"/>
    <w:basedOn w:val="1"/>
    <w:next w:val="1"/>
    <w:unhideWhenUsed/>
    <w:qFormat/>
    <w:uiPriority w:val="39"/>
    <w:pPr>
      <w:ind w:left="280"/>
      <w:jc w:val="left"/>
    </w:pPr>
    <w:rPr>
      <w:rFonts w:ascii="Calibri" w:hAnsi="Calibri" w:cs="Calibri"/>
      <w:smallCaps/>
      <w:sz w:val="20"/>
      <w:szCs w:val="20"/>
    </w:rPr>
  </w:style>
  <w:style w:type="character" w:customStyle="1" w:styleId="34">
    <w:name w:val="批注主题 字符"/>
    <w:basedOn w:val="27"/>
    <w:link w:val="15"/>
    <w:semiHidden/>
    <w:qFormat/>
    <w:uiPriority w:val="99"/>
    <w:rPr>
      <w:rFonts w:ascii="等线" w:hAnsi="等线" w:eastAsia="等线" w:cs="等线"/>
      <w:b/>
      <w:bCs/>
      <w:kern w:val="2"/>
      <w:sz w:val="21"/>
      <w:szCs w:val="21"/>
    </w:rPr>
  </w:style>
  <w:style w:type="character" w:customStyle="1" w:styleId="35">
    <w:name w:val="日期 字符"/>
    <w:basedOn w:val="17"/>
    <w:link w:val="8"/>
    <w:semiHidden/>
    <w:qFormat/>
    <w:uiPriority w:val="99"/>
    <w:rPr>
      <w:rFonts w:ascii="等线" w:hAnsi="等线" w:eastAsia="等线" w:cs="等线"/>
      <w:kern w:val="2"/>
      <w:sz w:val="21"/>
      <w:szCs w:val="21"/>
    </w:rPr>
  </w:style>
  <w:style w:type="character" w:customStyle="1" w:styleId="36">
    <w:name w:val="批注框文本 字符"/>
    <w:basedOn w:val="17"/>
    <w:link w:val="9"/>
    <w:semiHidden/>
    <w:qFormat/>
    <w:uiPriority w:val="99"/>
    <w:rPr>
      <w:rFonts w:ascii="等线" w:hAnsi="等线" w:eastAsia="等线" w:cs="等线"/>
      <w:kern w:val="2"/>
      <w:sz w:val="18"/>
      <w:szCs w:val="18"/>
    </w:rPr>
  </w:style>
  <w:style w:type="character" w:customStyle="1" w:styleId="37">
    <w:name w:val="页脚 字符"/>
    <w:basedOn w:val="17"/>
    <w:link w:val="10"/>
    <w:qFormat/>
    <w:uiPriority w:val="99"/>
    <w:rPr>
      <w:rFonts w:ascii="等线" w:hAnsi="等线" w:eastAsia="等线" w:cs="等线"/>
      <w:kern w:val="2"/>
      <w:sz w:val="18"/>
      <w:szCs w:val="18"/>
    </w:rPr>
  </w:style>
  <w:style w:type="character" w:customStyle="1" w:styleId="38">
    <w:name w:val="页眉 字符"/>
    <w:basedOn w:val="17"/>
    <w:link w:val="11"/>
    <w:qFormat/>
    <w:uiPriority w:val="99"/>
    <w:rPr>
      <w:rFonts w:ascii="等线" w:hAnsi="等线" w:eastAsia="等线" w:cs="等线"/>
      <w:kern w:val="2"/>
      <w:sz w:val="18"/>
      <w:szCs w:val="18"/>
    </w:rPr>
  </w:style>
  <w:style w:type="paragraph" w:customStyle="1" w:styleId="39">
    <w:name w:val="msonormal"/>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40">
    <w:name w:val="xl77"/>
    <w:basedOn w:val="1"/>
    <w:qFormat/>
    <w:uiPriority w:val="99"/>
    <w:pPr>
      <w:widowControl/>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41">
    <w:name w:val="xl78"/>
    <w:basedOn w:val="1"/>
    <w:qFormat/>
    <w:uiPriority w:val="99"/>
    <w:pPr>
      <w:widowControl/>
      <w:shd w:val="clear" w:color="000000" w:fill="FFFFFF"/>
      <w:spacing w:before="100" w:beforeAutospacing="1" w:after="100" w:afterAutospacing="1"/>
      <w:jc w:val="center"/>
      <w:textAlignment w:val="center"/>
    </w:pPr>
    <w:rPr>
      <w:rFonts w:ascii="宋体" w:hAnsi="宋体" w:eastAsia="宋体" w:cs="宋体"/>
      <w:kern w:val="0"/>
      <w:sz w:val="20"/>
      <w:szCs w:val="20"/>
    </w:rPr>
  </w:style>
  <w:style w:type="paragraph" w:customStyle="1" w:styleId="42">
    <w:name w:val="xl79"/>
    <w:basedOn w:val="1"/>
    <w:qFormat/>
    <w:uiPriority w:val="99"/>
    <w:pPr>
      <w:widowControl/>
      <w:pBdr>
        <w:top w:val="single" w:color="auto" w:sz="4" w:space="0"/>
        <w:left w:val="single" w:color="auto" w:sz="4" w:space="0"/>
        <w:bottom w:val="single" w:color="auto" w:sz="4" w:space="0"/>
      </w:pBdr>
      <w:shd w:val="clear" w:color="000000" w:fill="C0C0C0"/>
      <w:spacing w:before="100" w:beforeAutospacing="1" w:after="100" w:afterAutospacing="1"/>
      <w:jc w:val="left"/>
      <w:textAlignment w:val="center"/>
    </w:pPr>
    <w:rPr>
      <w:rFonts w:ascii="宋体" w:hAnsi="宋体" w:eastAsia="宋体" w:cs="宋体"/>
      <w:kern w:val="0"/>
      <w:sz w:val="20"/>
      <w:szCs w:val="20"/>
    </w:rPr>
  </w:style>
  <w:style w:type="paragraph" w:customStyle="1" w:styleId="43">
    <w:name w:val="xl80"/>
    <w:basedOn w:val="1"/>
    <w:qFormat/>
    <w:uiPriority w:val="99"/>
    <w:pPr>
      <w:widowControl/>
      <w:pBdr>
        <w:top w:val="single" w:color="auto" w:sz="4" w:space="0"/>
        <w:left w:val="single" w:color="auto" w:sz="4" w:space="0"/>
        <w:bottom w:val="single" w:color="auto" w:sz="4" w:space="0"/>
      </w:pBdr>
      <w:shd w:val="clear" w:color="000000" w:fill="C0C0FF"/>
      <w:spacing w:before="100" w:beforeAutospacing="1" w:after="100" w:afterAutospacing="1"/>
      <w:jc w:val="right"/>
      <w:textAlignment w:val="center"/>
    </w:pPr>
    <w:rPr>
      <w:rFonts w:ascii="宋体" w:hAnsi="宋体" w:eastAsia="宋体" w:cs="宋体"/>
      <w:kern w:val="0"/>
      <w:sz w:val="20"/>
      <w:szCs w:val="20"/>
    </w:rPr>
  </w:style>
  <w:style w:type="paragraph" w:customStyle="1" w:styleId="44">
    <w:name w:val="xl81"/>
    <w:basedOn w:val="1"/>
    <w:qFormat/>
    <w:uiPriority w:val="99"/>
    <w:pPr>
      <w:widowControl/>
      <w:pBdr>
        <w:top w:val="single" w:color="auto" w:sz="4" w:space="0"/>
        <w:left w:val="single" w:color="auto" w:sz="4" w:space="0"/>
        <w:bottom w:val="single" w:color="auto" w:sz="4" w:space="0"/>
      </w:pBdr>
      <w:shd w:val="clear" w:color="000000" w:fill="FFFFC0"/>
      <w:spacing w:before="100" w:beforeAutospacing="1" w:after="100" w:afterAutospacing="1"/>
      <w:jc w:val="right"/>
      <w:textAlignment w:val="center"/>
    </w:pPr>
    <w:rPr>
      <w:rFonts w:ascii="宋体" w:hAnsi="宋体" w:eastAsia="宋体" w:cs="宋体"/>
      <w:kern w:val="0"/>
      <w:sz w:val="20"/>
      <w:szCs w:val="20"/>
    </w:rPr>
  </w:style>
  <w:style w:type="paragraph" w:customStyle="1" w:styleId="45">
    <w:name w:val="xl82"/>
    <w:basedOn w:val="1"/>
    <w:qFormat/>
    <w:uiPriority w:val="99"/>
    <w:pPr>
      <w:widowControl/>
      <w:pBdr>
        <w:top w:val="single" w:color="auto" w:sz="4" w:space="0"/>
        <w:left w:val="single" w:color="auto" w:sz="4" w:space="0"/>
        <w:bottom w:val="single" w:color="auto" w:sz="4" w:space="0"/>
      </w:pBdr>
      <w:shd w:val="clear" w:color="000000" w:fill="C0C0FF"/>
      <w:spacing w:before="100" w:beforeAutospacing="1" w:after="100" w:afterAutospacing="1"/>
      <w:jc w:val="right"/>
      <w:textAlignment w:val="center"/>
    </w:pPr>
    <w:rPr>
      <w:rFonts w:ascii="宋体" w:hAnsi="宋体" w:eastAsia="宋体" w:cs="宋体"/>
      <w:kern w:val="0"/>
      <w:sz w:val="20"/>
      <w:szCs w:val="20"/>
    </w:rPr>
  </w:style>
  <w:style w:type="paragraph" w:customStyle="1" w:styleId="46">
    <w:name w:val="xl83"/>
    <w:basedOn w:val="1"/>
    <w:qFormat/>
    <w:uiPriority w:val="99"/>
    <w:pPr>
      <w:widowControl/>
      <w:pBdr>
        <w:top w:val="single" w:color="auto" w:sz="4" w:space="0"/>
        <w:left w:val="single" w:color="auto" w:sz="4" w:space="0"/>
        <w:bottom w:val="single" w:color="auto" w:sz="4" w:space="0"/>
      </w:pBdr>
      <w:shd w:val="clear" w:color="000000" w:fill="FFFFC0"/>
      <w:spacing w:before="100" w:beforeAutospacing="1" w:after="100" w:afterAutospacing="1"/>
      <w:jc w:val="right"/>
      <w:textAlignment w:val="center"/>
    </w:pPr>
    <w:rPr>
      <w:rFonts w:ascii="宋体" w:hAnsi="宋体" w:eastAsia="宋体" w:cs="宋体"/>
      <w:kern w:val="0"/>
      <w:sz w:val="20"/>
      <w:szCs w:val="20"/>
    </w:rPr>
  </w:style>
  <w:style w:type="paragraph" w:customStyle="1" w:styleId="47">
    <w:name w:val="xl84"/>
    <w:basedOn w:val="1"/>
    <w:qFormat/>
    <w:uiPriority w:val="99"/>
    <w:pPr>
      <w:widowControl/>
      <w:pBdr>
        <w:lef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48">
    <w:name w:val="xl85"/>
    <w:basedOn w:val="1"/>
    <w:qFormat/>
    <w:uiPriority w:val="99"/>
    <w:pPr>
      <w:widowControl/>
      <w:pBdr>
        <w:top w:val="single" w:color="auto" w:sz="4" w:space="0"/>
        <w:left w:val="single" w:color="auto" w:sz="4" w:space="0"/>
        <w:bottom w:val="single" w:color="auto" w:sz="4" w:space="0"/>
      </w:pBdr>
      <w:shd w:val="clear" w:color="000000" w:fill="C0C0FF"/>
      <w:spacing w:before="100" w:beforeAutospacing="1" w:after="100" w:afterAutospacing="1"/>
      <w:jc w:val="left"/>
      <w:textAlignment w:val="center"/>
    </w:pPr>
    <w:rPr>
      <w:rFonts w:ascii="宋体" w:hAnsi="宋体" w:eastAsia="宋体" w:cs="宋体"/>
      <w:kern w:val="0"/>
      <w:sz w:val="20"/>
      <w:szCs w:val="20"/>
    </w:rPr>
  </w:style>
  <w:style w:type="paragraph" w:customStyle="1" w:styleId="49">
    <w:name w:val="xl86"/>
    <w:basedOn w:val="1"/>
    <w:qFormat/>
    <w:uiPriority w:val="99"/>
    <w:pPr>
      <w:widowControl/>
      <w:pBdr>
        <w:top w:val="single" w:color="auto" w:sz="4" w:space="0"/>
        <w:left w:val="single" w:color="auto" w:sz="4" w:space="0"/>
        <w:bottom w:val="single" w:color="auto" w:sz="4" w:space="0"/>
      </w:pBdr>
      <w:shd w:val="clear" w:color="000000" w:fill="FFFFC0"/>
      <w:spacing w:before="100" w:beforeAutospacing="1" w:after="100" w:afterAutospacing="1"/>
      <w:jc w:val="right"/>
      <w:textAlignment w:val="center"/>
    </w:pPr>
    <w:rPr>
      <w:rFonts w:ascii="宋体" w:hAnsi="宋体" w:eastAsia="宋体" w:cs="宋体"/>
      <w:kern w:val="0"/>
      <w:sz w:val="20"/>
      <w:szCs w:val="20"/>
    </w:rPr>
  </w:style>
  <w:style w:type="paragraph" w:customStyle="1" w:styleId="50">
    <w:name w:val="xl87"/>
    <w:basedOn w:val="1"/>
    <w:qFormat/>
    <w:uiPriority w:val="99"/>
    <w:pPr>
      <w:widowControl/>
      <w:pBdr>
        <w:top w:val="single" w:color="auto" w:sz="4" w:space="0"/>
        <w:left w:val="single" w:color="auto" w:sz="4" w:space="0"/>
        <w:bottom w:val="single" w:color="auto" w:sz="4" w:space="0"/>
      </w:pBdr>
      <w:shd w:val="clear" w:color="000000" w:fill="FFFFC0"/>
      <w:spacing w:before="100" w:beforeAutospacing="1" w:after="100" w:afterAutospacing="1"/>
      <w:jc w:val="right"/>
      <w:textAlignment w:val="center"/>
    </w:pPr>
    <w:rPr>
      <w:rFonts w:ascii="宋体" w:hAnsi="宋体" w:eastAsia="宋体" w:cs="宋体"/>
      <w:kern w:val="0"/>
      <w:sz w:val="20"/>
      <w:szCs w:val="20"/>
    </w:rPr>
  </w:style>
  <w:style w:type="paragraph" w:customStyle="1" w:styleId="51">
    <w:name w:val="xl88"/>
    <w:basedOn w:val="1"/>
    <w:qFormat/>
    <w:uiPriority w:val="99"/>
    <w:pPr>
      <w:widowControl/>
      <w:pBdr>
        <w:top w:val="single" w:color="auto" w:sz="4" w:space="0"/>
        <w:left w:val="single" w:color="auto" w:sz="4" w:space="0"/>
        <w:bottom w:val="single" w:color="auto" w:sz="4" w:space="0"/>
      </w:pBdr>
      <w:shd w:val="clear" w:color="000000" w:fill="FFFFC0"/>
      <w:spacing w:before="100" w:beforeAutospacing="1" w:after="100" w:afterAutospacing="1"/>
      <w:jc w:val="right"/>
      <w:textAlignment w:val="center"/>
    </w:pPr>
    <w:rPr>
      <w:rFonts w:ascii="宋体" w:hAnsi="宋体" w:eastAsia="宋体" w:cs="宋体"/>
      <w:kern w:val="0"/>
      <w:sz w:val="20"/>
      <w:szCs w:val="20"/>
    </w:rPr>
  </w:style>
  <w:style w:type="paragraph" w:customStyle="1" w:styleId="52">
    <w:name w:val="xl89"/>
    <w:basedOn w:val="1"/>
    <w:qFormat/>
    <w:uiPriority w:val="99"/>
    <w:pPr>
      <w:widowControl/>
      <w:pBdr>
        <w:top w:val="single" w:color="auto" w:sz="4" w:space="0"/>
        <w:left w:val="single" w:color="auto" w:sz="4" w:space="0"/>
        <w:bottom w:val="single" w:color="auto" w:sz="4" w:space="0"/>
      </w:pBdr>
      <w:shd w:val="clear" w:color="000000" w:fill="C0C0FF"/>
      <w:spacing w:before="100" w:beforeAutospacing="1" w:after="100" w:afterAutospacing="1"/>
      <w:jc w:val="right"/>
      <w:textAlignment w:val="center"/>
    </w:pPr>
    <w:rPr>
      <w:rFonts w:ascii="宋体" w:hAnsi="宋体" w:eastAsia="宋体" w:cs="宋体"/>
      <w:kern w:val="0"/>
      <w:sz w:val="20"/>
      <w:szCs w:val="20"/>
    </w:rPr>
  </w:style>
  <w:style w:type="paragraph" w:customStyle="1" w:styleId="53">
    <w:name w:val="xl90"/>
    <w:basedOn w:val="1"/>
    <w:qFormat/>
    <w:uiPriority w:val="99"/>
    <w:pPr>
      <w:widowControl/>
      <w:pBdr>
        <w:top w:val="single" w:color="auto" w:sz="4" w:space="0"/>
        <w:left w:val="single" w:color="auto" w:sz="4" w:space="0"/>
        <w:bottom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54">
    <w:name w:val="xl91"/>
    <w:basedOn w:val="1"/>
    <w:qFormat/>
    <w:uiPriority w:val="99"/>
    <w:pPr>
      <w:widowControl/>
      <w:pBdr>
        <w:top w:val="single" w:color="auto" w:sz="4" w:space="0"/>
        <w:lef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55">
    <w:name w:val="xl92"/>
    <w:basedOn w:val="1"/>
    <w:qFormat/>
    <w:uiPriority w:val="99"/>
    <w:pPr>
      <w:widowControl/>
      <w:pBdr>
        <w:top w:val="single" w:color="auto" w:sz="4" w:space="0"/>
        <w:left w:val="single" w:color="auto" w:sz="4" w:space="0"/>
        <w:bottom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56">
    <w:name w:val="xl93"/>
    <w:basedOn w:val="1"/>
    <w:qFormat/>
    <w:uiPriority w:val="99"/>
    <w:pPr>
      <w:widowControl/>
      <w:pBdr>
        <w:top w:val="single" w:color="auto" w:sz="4" w:space="0"/>
        <w:lef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57">
    <w:name w:val="xl94"/>
    <w:basedOn w:val="1"/>
    <w:qFormat/>
    <w:uiPriority w:val="99"/>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58">
    <w:name w:val="xl95"/>
    <w:basedOn w:val="1"/>
    <w:qFormat/>
    <w:uiPriority w:val="99"/>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59">
    <w:name w:val="xl96"/>
    <w:basedOn w:val="1"/>
    <w:qFormat/>
    <w:uiPriority w:val="99"/>
    <w:pPr>
      <w:widowControl/>
      <w:pBdr>
        <w:left w:val="single" w:color="auto" w:sz="4" w:space="0"/>
        <w:bottom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60">
    <w:name w:val="xl97"/>
    <w:basedOn w:val="1"/>
    <w:qFormat/>
    <w:uiPriority w:val="99"/>
    <w:pPr>
      <w:widowControl/>
      <w:pBdr>
        <w:left w:val="single" w:color="auto" w:sz="4" w:space="0"/>
        <w:bottom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61">
    <w:name w:val="xl98"/>
    <w:basedOn w:val="1"/>
    <w:qFormat/>
    <w:uiPriority w:val="99"/>
    <w:pPr>
      <w:widowControl/>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62">
    <w:name w:val="xl99"/>
    <w:basedOn w:val="1"/>
    <w:qFormat/>
    <w:uiPriority w:val="99"/>
    <w:pPr>
      <w:widowControl/>
      <w:pBdr>
        <w:left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63">
    <w:name w:val="xl100"/>
    <w:basedOn w:val="1"/>
    <w:qFormat/>
    <w:uiPriority w:val="99"/>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kern w:val="0"/>
      <w:sz w:val="20"/>
      <w:szCs w:val="20"/>
    </w:rPr>
  </w:style>
  <w:style w:type="paragraph" w:customStyle="1" w:styleId="64">
    <w:name w:val="抄 送"/>
    <w:basedOn w:val="1"/>
    <w:qFormat/>
    <w:uiPriority w:val="0"/>
    <w:pPr>
      <w:framePr w:wrap="notBeside" w:vAnchor="margin" w:hAnchor="margin" w:yAlign="bottom"/>
    </w:pPr>
    <w:rPr>
      <w:rFonts w:ascii="Calibri" w:hAnsi="Calibri" w:eastAsia="仿宋_GB2312" w:cs="Calibri"/>
      <w:sz w:val="32"/>
      <w:szCs w:val="32"/>
    </w:rPr>
  </w:style>
  <w:style w:type="paragraph" w:customStyle="1" w:styleId="65">
    <w:name w:val="xl65"/>
    <w:basedOn w:val="1"/>
    <w:qFormat/>
    <w:uiPriority w:val="99"/>
    <w:pPr>
      <w:widowControl/>
      <w:spacing w:before="100" w:beforeAutospacing="1" w:after="100" w:afterAutospacing="1"/>
      <w:jc w:val="center"/>
    </w:pPr>
    <w:rPr>
      <w:rFonts w:ascii="宋体" w:hAnsi="宋体" w:eastAsia="宋体" w:cs="宋体"/>
      <w:kern w:val="0"/>
      <w:sz w:val="24"/>
      <w:szCs w:val="24"/>
    </w:rPr>
  </w:style>
  <w:style w:type="paragraph" w:customStyle="1" w:styleId="66">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67">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68">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69">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b/>
      <w:bCs/>
      <w:kern w:val="0"/>
      <w:sz w:val="24"/>
      <w:szCs w:val="24"/>
    </w:rPr>
  </w:style>
  <w:style w:type="paragraph" w:customStyle="1" w:styleId="70">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71">
    <w:name w:val="xl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kern w:val="0"/>
      <w:sz w:val="24"/>
      <w:szCs w:val="24"/>
    </w:rPr>
  </w:style>
  <w:style w:type="paragraph" w:customStyle="1" w:styleId="72">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73">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74">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6"/>
      <w:szCs w:val="16"/>
    </w:rPr>
  </w:style>
  <w:style w:type="paragraph" w:customStyle="1" w:styleId="75">
    <w:name w:val="xl75"/>
    <w:basedOn w:val="1"/>
    <w:qFormat/>
    <w:uiPriority w:val="99"/>
    <w:pPr>
      <w:widowControl/>
      <w:spacing w:before="100" w:beforeAutospacing="1" w:after="100" w:afterAutospacing="1"/>
      <w:jc w:val="center"/>
    </w:pPr>
    <w:rPr>
      <w:rFonts w:ascii="宋体" w:hAnsi="宋体" w:eastAsia="宋体" w:cs="宋体"/>
      <w:b/>
      <w:bCs/>
      <w:kern w:val="0"/>
      <w:sz w:val="20"/>
      <w:szCs w:val="20"/>
    </w:rPr>
  </w:style>
  <w:style w:type="paragraph" w:customStyle="1" w:styleId="76">
    <w:name w:val="xl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77">
    <w:name w:val="列出段落1"/>
    <w:basedOn w:val="1"/>
    <w:qFormat/>
    <w:uiPriority w:val="99"/>
    <w:pPr>
      <w:ind w:firstLine="420" w:firstLineChars="200"/>
    </w:pPr>
    <w:rPr>
      <w:rFonts w:ascii="Calibri" w:hAnsi="Calibri" w:eastAsia="宋体" w:cs="Calibr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299</Words>
  <Characters>1708</Characters>
  <Lines>14</Lines>
  <Paragraphs>4</Paragraphs>
  <TotalTime>3</TotalTime>
  <ScaleCrop>false</ScaleCrop>
  <LinksUpToDate>false</LinksUpToDate>
  <CharactersWithSpaces>2003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2020-08-12T17:04:00Z</dcterms:created>
  <dc:creator>微软用户</dc:creator>
  <cp:lastModifiedBy>LENOVO</cp:lastModifiedBy>
  <cp:lastPrinted>2021-03-17T17:42:00Z</cp:lastPrinted>
  <dcterms:modified xsi:type="dcterms:W3CDTF">2023-04-14T10:38:43Z</dcterms:modified>
  <cp:revision>425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70D58A9A1F444A3EA8F4B3B97923F3D9</vt:lpwstr>
  </property>
</Properties>
</file>